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95AD3" w14:textId="77777777" w:rsidR="007E27D6" w:rsidRPr="007E27D6" w:rsidRDefault="007E27D6" w:rsidP="007E27D6">
      <w:pPr>
        <w:autoSpaceDE w:val="0"/>
        <w:autoSpaceDN w:val="0"/>
        <w:adjustRightInd w:val="0"/>
        <w:snapToGrid w:val="0"/>
        <w:spacing w:after="0" w:line="240" w:lineRule="auto"/>
        <w:jc w:val="center"/>
        <w:rPr>
          <w:rFonts w:ascii="Times New Roman" w:hAnsi="Times New Roman" w:cs="Times New Roman"/>
          <w:b/>
          <w:bCs/>
          <w:lang w:val="en-AU" w:eastAsia="en-NZ"/>
        </w:rPr>
      </w:pPr>
    </w:p>
    <w:p w14:paraId="4E9E41CB" w14:textId="77777777" w:rsidR="007E27D6" w:rsidRPr="007E27D6" w:rsidRDefault="007E27D6" w:rsidP="007E27D6">
      <w:pPr>
        <w:autoSpaceDE w:val="0"/>
        <w:autoSpaceDN w:val="0"/>
        <w:adjustRightInd w:val="0"/>
        <w:snapToGrid w:val="0"/>
        <w:spacing w:after="0" w:line="240" w:lineRule="auto"/>
        <w:jc w:val="center"/>
        <w:rPr>
          <w:rFonts w:ascii="Times New Roman" w:hAnsi="Times New Roman" w:cs="Times New Roman"/>
          <w:b/>
          <w:bCs/>
          <w:lang w:val="en-AU" w:eastAsia="en-NZ"/>
        </w:rPr>
      </w:pPr>
    </w:p>
    <w:p w14:paraId="284EED3A" w14:textId="77777777" w:rsidR="007E27D6" w:rsidRPr="007E27D6" w:rsidRDefault="007E27D6" w:rsidP="007E27D6">
      <w:pPr>
        <w:autoSpaceDE w:val="0"/>
        <w:autoSpaceDN w:val="0"/>
        <w:adjustRightInd w:val="0"/>
        <w:snapToGrid w:val="0"/>
        <w:spacing w:after="0" w:line="240" w:lineRule="auto"/>
        <w:jc w:val="center"/>
        <w:rPr>
          <w:rFonts w:ascii="Times New Roman" w:hAnsi="Times New Roman" w:cs="Times New Roman"/>
          <w:b/>
          <w:bCs/>
          <w:lang w:val="en-AU" w:eastAsia="en-NZ"/>
        </w:rPr>
      </w:pPr>
      <w:r w:rsidRPr="007E27D6">
        <w:rPr>
          <w:rFonts w:ascii="Times New Roman" w:hAnsi="Times New Roman" w:cs="Times New Roman"/>
          <w:noProof/>
          <w:lang w:eastAsia="zh-CN" w:bidi="mn-Mong-CN"/>
        </w:rPr>
        <w:drawing>
          <wp:inline distT="0" distB="0" distL="0" distR="0" wp14:anchorId="12B367E6" wp14:editId="07A5A9AA">
            <wp:extent cx="2106295" cy="110490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1104900"/>
                    </a:xfrm>
                    <a:prstGeom prst="rect">
                      <a:avLst/>
                    </a:prstGeom>
                    <a:noFill/>
                    <a:ln>
                      <a:noFill/>
                    </a:ln>
                  </pic:spPr>
                </pic:pic>
              </a:graphicData>
            </a:graphic>
          </wp:inline>
        </w:drawing>
      </w:r>
    </w:p>
    <w:p w14:paraId="76EF93CC" w14:textId="77777777" w:rsidR="007E27D6" w:rsidRPr="007E27D6" w:rsidRDefault="007E27D6" w:rsidP="007E27D6">
      <w:pPr>
        <w:autoSpaceDE w:val="0"/>
        <w:autoSpaceDN w:val="0"/>
        <w:adjustRightInd w:val="0"/>
        <w:snapToGrid w:val="0"/>
        <w:spacing w:after="0" w:line="240" w:lineRule="auto"/>
        <w:jc w:val="center"/>
        <w:rPr>
          <w:rFonts w:ascii="Times New Roman" w:hAnsi="Times New Roman" w:cs="Times New Roman"/>
          <w:b/>
          <w:bCs/>
          <w:lang w:val="en-AU" w:eastAsia="en-NZ"/>
        </w:rPr>
      </w:pPr>
    </w:p>
    <w:p w14:paraId="6005EF1F" w14:textId="77777777" w:rsidR="007E27D6" w:rsidRPr="007E27D6" w:rsidRDefault="007E27D6" w:rsidP="007E27D6">
      <w:pPr>
        <w:autoSpaceDE w:val="0"/>
        <w:autoSpaceDN w:val="0"/>
        <w:adjustRightInd w:val="0"/>
        <w:snapToGrid w:val="0"/>
        <w:spacing w:after="0" w:line="240" w:lineRule="auto"/>
        <w:jc w:val="center"/>
        <w:rPr>
          <w:rFonts w:ascii="Times New Roman" w:hAnsi="Times New Roman" w:cs="Times New Roman"/>
          <w:b/>
          <w:bCs/>
          <w:lang w:val="en-AU" w:eastAsia="en-NZ"/>
        </w:rPr>
      </w:pPr>
    </w:p>
    <w:p w14:paraId="5EB35565" w14:textId="77777777" w:rsidR="007E27D6" w:rsidRPr="007E27D6" w:rsidRDefault="007E27D6" w:rsidP="007E27D6">
      <w:pPr>
        <w:adjustRightInd w:val="0"/>
        <w:snapToGrid w:val="0"/>
        <w:spacing w:after="0" w:line="240" w:lineRule="auto"/>
        <w:jc w:val="center"/>
        <w:rPr>
          <w:rFonts w:ascii="Times New Roman" w:hAnsi="Times New Roman" w:cs="Times New Roman"/>
          <w:b/>
          <w:lang w:val="en-NZ"/>
        </w:rPr>
      </w:pPr>
      <w:r w:rsidRPr="007E27D6">
        <w:rPr>
          <w:rFonts w:ascii="Times New Roman" w:hAnsi="Times New Roman" w:cs="Times New Roman"/>
          <w:b/>
          <w:lang w:val="en-NZ"/>
        </w:rPr>
        <w:t xml:space="preserve">The Commission for the Conservation and Management of </w:t>
      </w:r>
    </w:p>
    <w:p w14:paraId="20DFFB6E" w14:textId="77777777" w:rsidR="007E27D6" w:rsidRPr="007E27D6" w:rsidRDefault="007E27D6" w:rsidP="007E27D6">
      <w:pPr>
        <w:adjustRightInd w:val="0"/>
        <w:snapToGrid w:val="0"/>
        <w:spacing w:after="0" w:line="240" w:lineRule="auto"/>
        <w:jc w:val="center"/>
        <w:rPr>
          <w:rFonts w:ascii="Times New Roman" w:hAnsi="Times New Roman" w:cs="Times New Roman"/>
          <w:b/>
          <w:lang w:val="en-NZ"/>
        </w:rPr>
      </w:pPr>
      <w:r w:rsidRPr="007E27D6">
        <w:rPr>
          <w:rFonts w:ascii="Times New Roman" w:hAnsi="Times New Roman" w:cs="Times New Roman"/>
          <w:b/>
          <w:lang w:val="en-NZ"/>
        </w:rPr>
        <w:t xml:space="preserve">Highly Migratory Fish Stocks in the Western and Central Pacific Ocean </w:t>
      </w:r>
    </w:p>
    <w:p w14:paraId="4BBD687A" w14:textId="77777777" w:rsidR="007E27D6" w:rsidRPr="007E27D6" w:rsidRDefault="007E27D6" w:rsidP="007E27D6">
      <w:pPr>
        <w:adjustRightInd w:val="0"/>
        <w:snapToGrid w:val="0"/>
        <w:spacing w:after="0" w:line="240" w:lineRule="auto"/>
        <w:jc w:val="center"/>
        <w:rPr>
          <w:rFonts w:ascii="Times New Roman" w:hAnsi="Times New Roman" w:cs="Times New Roman"/>
          <w:b/>
          <w:lang w:val="en-NZ"/>
        </w:rPr>
      </w:pPr>
    </w:p>
    <w:p w14:paraId="3C5DEF08" w14:textId="77777777" w:rsidR="007E27D6" w:rsidRPr="007E27D6" w:rsidRDefault="007E27D6" w:rsidP="007E27D6">
      <w:pPr>
        <w:adjustRightInd w:val="0"/>
        <w:snapToGrid w:val="0"/>
        <w:spacing w:after="0" w:line="240" w:lineRule="auto"/>
        <w:jc w:val="center"/>
        <w:rPr>
          <w:rFonts w:ascii="Times New Roman" w:hAnsi="Times New Roman" w:cs="Times New Roman"/>
          <w:b/>
          <w:lang w:val="en-NZ"/>
        </w:rPr>
      </w:pPr>
    </w:p>
    <w:p w14:paraId="7AA7D028" w14:textId="77777777" w:rsidR="007E27D6" w:rsidRPr="007E27D6" w:rsidRDefault="007E27D6" w:rsidP="007E27D6">
      <w:pPr>
        <w:adjustRightInd w:val="0"/>
        <w:snapToGrid w:val="0"/>
        <w:spacing w:after="0" w:line="240" w:lineRule="auto"/>
        <w:jc w:val="center"/>
        <w:rPr>
          <w:rFonts w:ascii="Times New Roman" w:hAnsi="Times New Roman" w:cs="Times New Roman"/>
          <w:b/>
          <w:lang w:val="en-NZ"/>
        </w:rPr>
      </w:pPr>
    </w:p>
    <w:p w14:paraId="12E98EF6" w14:textId="77777777" w:rsidR="007E27D6" w:rsidRPr="007E27D6" w:rsidRDefault="007E27D6" w:rsidP="007E27D6">
      <w:pPr>
        <w:adjustRightInd w:val="0"/>
        <w:snapToGrid w:val="0"/>
        <w:spacing w:after="0" w:line="240" w:lineRule="auto"/>
        <w:jc w:val="center"/>
        <w:rPr>
          <w:rFonts w:ascii="Times New Roman" w:hAnsi="Times New Roman" w:cs="Times New Roman"/>
          <w:b/>
          <w:caps/>
          <w:lang w:val="en-NZ"/>
        </w:rPr>
      </w:pPr>
      <w:r w:rsidRPr="007E27D6">
        <w:rPr>
          <w:rFonts w:ascii="Times New Roman" w:hAnsi="Times New Roman" w:cs="Times New Roman"/>
          <w:b/>
          <w:caps/>
          <w:lang w:val="en-NZ"/>
        </w:rPr>
        <w:t>Scientific Committee</w:t>
      </w:r>
    </w:p>
    <w:p w14:paraId="251E33BC" w14:textId="1F50E8EB" w:rsidR="007E27D6" w:rsidRPr="007E27D6" w:rsidRDefault="007E27D6" w:rsidP="007E27D6">
      <w:pPr>
        <w:adjustRightInd w:val="0"/>
        <w:snapToGrid w:val="0"/>
        <w:spacing w:after="0" w:line="240" w:lineRule="auto"/>
        <w:jc w:val="center"/>
        <w:rPr>
          <w:rFonts w:ascii="Times New Roman" w:hAnsi="Times New Roman" w:cs="Times New Roman"/>
          <w:b/>
          <w:lang w:val="en-NZ"/>
        </w:rPr>
      </w:pPr>
    </w:p>
    <w:p w14:paraId="7E044487" w14:textId="04C5E1FD" w:rsidR="007E27D6" w:rsidRPr="007E27D6" w:rsidRDefault="007E27D6" w:rsidP="007E27D6">
      <w:pPr>
        <w:adjustRightInd w:val="0"/>
        <w:snapToGrid w:val="0"/>
        <w:spacing w:after="0" w:line="240" w:lineRule="auto"/>
        <w:jc w:val="center"/>
        <w:rPr>
          <w:rFonts w:ascii="Times New Roman" w:hAnsi="Times New Roman" w:cs="Times New Roman"/>
          <w:b/>
          <w:lang w:val="en-NZ"/>
        </w:rPr>
      </w:pPr>
    </w:p>
    <w:p w14:paraId="367B4C9A" w14:textId="3336716F" w:rsidR="007E27D6" w:rsidRPr="007E27D6" w:rsidRDefault="007E27D6" w:rsidP="007E27D6">
      <w:pPr>
        <w:adjustRightInd w:val="0"/>
        <w:snapToGrid w:val="0"/>
        <w:spacing w:after="0" w:line="240" w:lineRule="auto"/>
        <w:jc w:val="center"/>
        <w:rPr>
          <w:rFonts w:ascii="Times New Roman" w:hAnsi="Times New Roman" w:cs="Times New Roman"/>
          <w:b/>
          <w:lang w:val="en-NZ"/>
        </w:rPr>
      </w:pPr>
    </w:p>
    <w:p w14:paraId="0F476965" w14:textId="041BB48C" w:rsidR="004B05DF" w:rsidRPr="007E27D6" w:rsidRDefault="00706812" w:rsidP="007E27D6">
      <w:pPr>
        <w:adjustRightInd w:val="0"/>
        <w:snapToGrid w:val="0"/>
        <w:spacing w:after="0" w:line="240" w:lineRule="auto"/>
        <w:jc w:val="center"/>
        <w:rPr>
          <w:rFonts w:ascii="Times New Roman" w:hAnsi="Times New Roman" w:cs="Times New Roman"/>
          <w:b/>
          <w:sz w:val="28"/>
          <w:szCs w:val="28"/>
        </w:rPr>
      </w:pPr>
      <w:r w:rsidRPr="007E27D6">
        <w:rPr>
          <w:rFonts w:ascii="Times New Roman" w:hAnsi="Times New Roman" w:cs="Times New Roman"/>
          <w:b/>
          <w:caps/>
          <w:sz w:val="28"/>
          <w:szCs w:val="28"/>
        </w:rPr>
        <w:t xml:space="preserve">Pacific Bigeye Thresher </w:t>
      </w:r>
      <w:r w:rsidR="0015000E" w:rsidRPr="007E27D6">
        <w:rPr>
          <w:rFonts w:ascii="Times New Roman" w:hAnsi="Times New Roman" w:cs="Times New Roman"/>
          <w:b/>
          <w:caps/>
          <w:sz w:val="28"/>
          <w:szCs w:val="28"/>
        </w:rPr>
        <w:t>Shark</w:t>
      </w:r>
      <w:r w:rsidR="007A432D" w:rsidRPr="007E27D6">
        <w:rPr>
          <w:rFonts w:ascii="Times New Roman" w:hAnsi="Times New Roman" w:cs="Times New Roman"/>
          <w:b/>
          <w:sz w:val="28"/>
          <w:szCs w:val="28"/>
        </w:rPr>
        <w:t xml:space="preserve"> </w:t>
      </w:r>
      <w:r w:rsidR="004B05DF" w:rsidRPr="007E27D6">
        <w:rPr>
          <w:rFonts w:ascii="Times New Roman" w:hAnsi="Times New Roman" w:cs="Times New Roman"/>
          <w:b/>
          <w:sz w:val="28"/>
          <w:szCs w:val="28"/>
        </w:rPr>
        <w:t>(</w:t>
      </w:r>
      <w:r w:rsidRPr="007E27D6">
        <w:rPr>
          <w:rFonts w:ascii="Times New Roman" w:hAnsi="Times New Roman" w:cs="Times New Roman"/>
          <w:b/>
          <w:i/>
          <w:iCs/>
          <w:sz w:val="28"/>
          <w:szCs w:val="28"/>
        </w:rPr>
        <w:t>Alopias superciliosus</w:t>
      </w:r>
      <w:r w:rsidRPr="007E27D6">
        <w:rPr>
          <w:rFonts w:ascii="Times New Roman" w:hAnsi="Times New Roman" w:cs="Times New Roman"/>
          <w:b/>
          <w:sz w:val="28"/>
          <w:szCs w:val="28"/>
        </w:rPr>
        <w:t>)</w:t>
      </w:r>
    </w:p>
    <w:p w14:paraId="3EAC22A1" w14:textId="77777777" w:rsidR="007E27D6" w:rsidRPr="007E27D6" w:rsidRDefault="007E27D6" w:rsidP="007E27D6">
      <w:pPr>
        <w:adjustRightInd w:val="0"/>
        <w:snapToGrid w:val="0"/>
        <w:spacing w:after="0" w:line="240" w:lineRule="auto"/>
        <w:jc w:val="center"/>
        <w:rPr>
          <w:rFonts w:ascii="Times New Roman" w:hAnsi="Times New Roman" w:cs="Times New Roman"/>
          <w:bCs/>
          <w:caps/>
        </w:rPr>
      </w:pPr>
    </w:p>
    <w:p w14:paraId="41A2F579" w14:textId="09F2B23A" w:rsidR="004B05DF" w:rsidRPr="007E27D6" w:rsidRDefault="004B05DF" w:rsidP="007E27D6">
      <w:pPr>
        <w:adjustRightInd w:val="0"/>
        <w:snapToGrid w:val="0"/>
        <w:spacing w:after="0" w:line="240" w:lineRule="auto"/>
        <w:jc w:val="center"/>
        <w:rPr>
          <w:rFonts w:ascii="Times New Roman" w:hAnsi="Times New Roman" w:cs="Times New Roman"/>
          <w:bCs/>
          <w:caps/>
        </w:rPr>
      </w:pPr>
      <w:r w:rsidRPr="007E27D6">
        <w:rPr>
          <w:rFonts w:ascii="Times New Roman" w:hAnsi="Times New Roman" w:cs="Times New Roman"/>
          <w:bCs/>
          <w:caps/>
        </w:rPr>
        <w:t xml:space="preserve">Stock Status </w:t>
      </w:r>
      <w:r w:rsidR="007E27D6" w:rsidRPr="007E27D6">
        <w:rPr>
          <w:rFonts w:ascii="Times New Roman" w:hAnsi="Times New Roman" w:cs="Times New Roman"/>
          <w:bCs/>
          <w:caps/>
        </w:rPr>
        <w:t>AND</w:t>
      </w:r>
      <w:r w:rsidRPr="007E27D6">
        <w:rPr>
          <w:rFonts w:ascii="Times New Roman" w:hAnsi="Times New Roman" w:cs="Times New Roman"/>
          <w:bCs/>
          <w:caps/>
        </w:rPr>
        <w:t xml:space="preserve"> Management Advice</w:t>
      </w:r>
    </w:p>
    <w:p w14:paraId="3B621CAE" w14:textId="3DF304AB" w:rsidR="007E27D6" w:rsidRPr="007E27D6" w:rsidRDefault="007E27D6" w:rsidP="007E27D6">
      <w:pPr>
        <w:adjustRightInd w:val="0"/>
        <w:snapToGrid w:val="0"/>
        <w:spacing w:after="0" w:line="240" w:lineRule="auto"/>
        <w:jc w:val="center"/>
        <w:rPr>
          <w:rFonts w:ascii="Times New Roman" w:hAnsi="Times New Roman" w:cs="Times New Roman"/>
          <w:bCs/>
          <w:caps/>
        </w:rPr>
      </w:pPr>
    </w:p>
    <w:p w14:paraId="2F06FC93" w14:textId="3A144ED2" w:rsidR="007E27D6" w:rsidRPr="007E27D6" w:rsidRDefault="007E27D6" w:rsidP="007E27D6">
      <w:pPr>
        <w:adjustRightInd w:val="0"/>
        <w:snapToGrid w:val="0"/>
        <w:spacing w:after="0" w:line="240" w:lineRule="auto"/>
        <w:jc w:val="center"/>
        <w:rPr>
          <w:rFonts w:ascii="Times New Roman" w:hAnsi="Times New Roman" w:cs="Times New Roman"/>
          <w:bCs/>
          <w:caps/>
        </w:rPr>
      </w:pPr>
    </w:p>
    <w:p w14:paraId="3820A9B4" w14:textId="581B28F1" w:rsidR="007E27D6" w:rsidRPr="007E27D6" w:rsidRDefault="007E27D6" w:rsidP="007E27D6">
      <w:pPr>
        <w:adjustRightInd w:val="0"/>
        <w:snapToGrid w:val="0"/>
        <w:spacing w:after="0" w:line="240" w:lineRule="auto"/>
        <w:jc w:val="center"/>
        <w:rPr>
          <w:rFonts w:ascii="Times New Roman" w:hAnsi="Times New Roman" w:cs="Times New Roman"/>
          <w:bCs/>
          <w:caps/>
        </w:rPr>
      </w:pPr>
    </w:p>
    <w:p w14:paraId="24FE9B7D" w14:textId="569FE080" w:rsidR="007E27D6" w:rsidRPr="007E27D6" w:rsidRDefault="007E27D6" w:rsidP="007E27D6">
      <w:pPr>
        <w:adjustRightInd w:val="0"/>
        <w:snapToGrid w:val="0"/>
        <w:spacing w:after="0" w:line="240" w:lineRule="auto"/>
        <w:jc w:val="center"/>
        <w:rPr>
          <w:rFonts w:ascii="Times New Roman" w:hAnsi="Times New Roman" w:cs="Times New Roman"/>
          <w:bCs/>
          <w:caps/>
        </w:rPr>
      </w:pPr>
    </w:p>
    <w:p w14:paraId="4E748363" w14:textId="66E15497" w:rsidR="007E27D6" w:rsidRPr="007E27D6" w:rsidRDefault="007E27D6" w:rsidP="007E27D6">
      <w:pPr>
        <w:adjustRightInd w:val="0"/>
        <w:snapToGrid w:val="0"/>
        <w:spacing w:after="0" w:line="240" w:lineRule="auto"/>
        <w:jc w:val="center"/>
        <w:rPr>
          <w:rFonts w:ascii="Times New Roman" w:hAnsi="Times New Roman" w:cs="Times New Roman"/>
          <w:bCs/>
          <w:caps/>
        </w:rPr>
      </w:pPr>
    </w:p>
    <w:p w14:paraId="6D7706B6" w14:textId="0A495680" w:rsidR="007E27D6" w:rsidRPr="007E27D6" w:rsidRDefault="007E27D6" w:rsidP="007E27D6">
      <w:pPr>
        <w:adjustRightInd w:val="0"/>
        <w:snapToGrid w:val="0"/>
        <w:spacing w:after="0" w:line="240" w:lineRule="auto"/>
        <w:jc w:val="center"/>
        <w:rPr>
          <w:rFonts w:ascii="Times New Roman" w:hAnsi="Times New Roman" w:cs="Times New Roman"/>
          <w:bCs/>
          <w:caps/>
        </w:rPr>
      </w:pPr>
    </w:p>
    <w:p w14:paraId="3A883302" w14:textId="1619AAA5" w:rsidR="007E27D6" w:rsidRPr="007E27D6" w:rsidRDefault="007E27D6" w:rsidP="007E27D6">
      <w:pPr>
        <w:adjustRightInd w:val="0"/>
        <w:snapToGrid w:val="0"/>
        <w:spacing w:after="0" w:line="240" w:lineRule="auto"/>
        <w:jc w:val="center"/>
        <w:rPr>
          <w:rFonts w:ascii="Times New Roman" w:hAnsi="Times New Roman" w:cs="Times New Roman"/>
          <w:bCs/>
          <w:caps/>
        </w:rPr>
      </w:pPr>
    </w:p>
    <w:p w14:paraId="71B44A63" w14:textId="2C96BEFD" w:rsidR="007E27D6" w:rsidRPr="007E27D6" w:rsidRDefault="007E27D6" w:rsidP="007E27D6">
      <w:pPr>
        <w:adjustRightInd w:val="0"/>
        <w:snapToGrid w:val="0"/>
        <w:spacing w:after="0" w:line="240" w:lineRule="auto"/>
        <w:jc w:val="center"/>
        <w:rPr>
          <w:rFonts w:ascii="Times New Roman" w:hAnsi="Times New Roman" w:cs="Times New Roman"/>
          <w:bCs/>
          <w:caps/>
        </w:rPr>
      </w:pPr>
    </w:p>
    <w:p w14:paraId="2E29AFAD" w14:textId="1045496E" w:rsidR="007E27D6" w:rsidRPr="007E27D6" w:rsidRDefault="007E27D6" w:rsidP="007E27D6">
      <w:pPr>
        <w:adjustRightInd w:val="0"/>
        <w:snapToGrid w:val="0"/>
        <w:spacing w:after="0" w:line="240" w:lineRule="auto"/>
        <w:jc w:val="center"/>
        <w:rPr>
          <w:rFonts w:ascii="Times New Roman" w:hAnsi="Times New Roman" w:cs="Times New Roman"/>
          <w:bCs/>
          <w:caps/>
        </w:rPr>
      </w:pPr>
    </w:p>
    <w:p w14:paraId="4D1EC2AC" w14:textId="301F25CA" w:rsidR="007E27D6" w:rsidRPr="007E27D6" w:rsidRDefault="007E27D6" w:rsidP="007E27D6">
      <w:pPr>
        <w:adjustRightInd w:val="0"/>
        <w:snapToGrid w:val="0"/>
        <w:spacing w:after="0" w:line="240" w:lineRule="auto"/>
        <w:jc w:val="center"/>
        <w:rPr>
          <w:rFonts w:ascii="Times New Roman" w:hAnsi="Times New Roman" w:cs="Times New Roman"/>
          <w:bCs/>
          <w:caps/>
        </w:rPr>
      </w:pPr>
    </w:p>
    <w:sdt>
      <w:sdtPr>
        <w:rPr>
          <w:rFonts w:ascii="Times New Roman" w:eastAsiaTheme="minorHAnsi" w:hAnsi="Times New Roman" w:cs="Times New Roman"/>
          <w:color w:val="auto"/>
          <w:sz w:val="22"/>
          <w:szCs w:val="22"/>
        </w:rPr>
        <w:id w:val="-1203621396"/>
        <w:docPartObj>
          <w:docPartGallery w:val="Table of Contents"/>
          <w:docPartUnique/>
        </w:docPartObj>
      </w:sdtPr>
      <w:sdtEndPr>
        <w:rPr>
          <w:b/>
          <w:bCs/>
          <w:noProof/>
        </w:rPr>
      </w:sdtEndPr>
      <w:sdtContent>
        <w:p w14:paraId="316810F2" w14:textId="77777777" w:rsidR="004B05DF" w:rsidRPr="007E27D6" w:rsidRDefault="004B05DF" w:rsidP="00F672EB">
          <w:pPr>
            <w:pStyle w:val="TOCHeading"/>
            <w:adjustRightInd w:val="0"/>
            <w:snapToGrid w:val="0"/>
            <w:spacing w:before="0" w:after="240" w:line="240" w:lineRule="auto"/>
            <w:rPr>
              <w:rFonts w:ascii="Times New Roman" w:hAnsi="Times New Roman" w:cs="Times New Roman"/>
            </w:rPr>
          </w:pPr>
          <w:r w:rsidRPr="007E27D6">
            <w:rPr>
              <w:rFonts w:ascii="Times New Roman" w:hAnsi="Times New Roman" w:cs="Times New Roman"/>
            </w:rPr>
            <w:t>Contents</w:t>
          </w:r>
        </w:p>
        <w:p w14:paraId="44CE819F" w14:textId="33CC0204" w:rsidR="00F672EB" w:rsidRDefault="004B05DF" w:rsidP="00F672EB">
          <w:pPr>
            <w:pStyle w:val="TOC1"/>
            <w:tabs>
              <w:tab w:val="right" w:leader="dot" w:pos="9350"/>
            </w:tabs>
            <w:adjustRightInd w:val="0"/>
            <w:snapToGrid w:val="0"/>
            <w:spacing w:after="240" w:line="240" w:lineRule="auto"/>
            <w:rPr>
              <w:rFonts w:eastAsiaTheme="minorEastAsia"/>
              <w:noProof/>
              <w:lang w:eastAsia="ko-KR"/>
            </w:rPr>
          </w:pPr>
          <w:r w:rsidRPr="007E27D6">
            <w:rPr>
              <w:rFonts w:ascii="Times New Roman" w:hAnsi="Times New Roman" w:cs="Times New Roman"/>
            </w:rPr>
            <w:fldChar w:fldCharType="begin"/>
          </w:r>
          <w:r w:rsidRPr="007E27D6">
            <w:rPr>
              <w:rFonts w:ascii="Times New Roman" w:hAnsi="Times New Roman" w:cs="Times New Roman"/>
            </w:rPr>
            <w:instrText xml:space="preserve"> TOC \o "1-3" \h \z \u </w:instrText>
          </w:r>
          <w:r w:rsidRPr="007E27D6">
            <w:rPr>
              <w:rFonts w:ascii="Times New Roman" w:hAnsi="Times New Roman" w:cs="Times New Roman"/>
            </w:rPr>
            <w:fldChar w:fldCharType="separate"/>
          </w:r>
          <w:hyperlink w:anchor="_Toc25068156" w:history="1">
            <w:r w:rsidR="00F672EB" w:rsidRPr="00F60F99">
              <w:rPr>
                <w:rStyle w:val="Hyperlink"/>
                <w:rFonts w:ascii="Times New Roman" w:hAnsi="Times New Roman" w:cs="Times New Roman"/>
                <w:noProof/>
              </w:rPr>
              <w:t>SC15 2019 (NO STOCK ASSESSMENT)</w:t>
            </w:r>
            <w:r w:rsidR="00F672EB">
              <w:rPr>
                <w:noProof/>
                <w:webHidden/>
              </w:rPr>
              <w:tab/>
            </w:r>
            <w:r w:rsidR="00F672EB">
              <w:rPr>
                <w:noProof/>
                <w:webHidden/>
              </w:rPr>
              <w:fldChar w:fldCharType="begin"/>
            </w:r>
            <w:r w:rsidR="00F672EB">
              <w:rPr>
                <w:noProof/>
                <w:webHidden/>
              </w:rPr>
              <w:instrText xml:space="preserve"> PAGEREF _Toc25068156 \h </w:instrText>
            </w:r>
            <w:r w:rsidR="00F672EB">
              <w:rPr>
                <w:noProof/>
                <w:webHidden/>
              </w:rPr>
            </w:r>
            <w:r w:rsidR="00F672EB">
              <w:rPr>
                <w:noProof/>
                <w:webHidden/>
              </w:rPr>
              <w:fldChar w:fldCharType="separate"/>
            </w:r>
            <w:r w:rsidR="00F672EB">
              <w:rPr>
                <w:noProof/>
                <w:webHidden/>
              </w:rPr>
              <w:t>2</w:t>
            </w:r>
            <w:r w:rsidR="00F672EB">
              <w:rPr>
                <w:noProof/>
                <w:webHidden/>
              </w:rPr>
              <w:fldChar w:fldCharType="end"/>
            </w:r>
          </w:hyperlink>
        </w:p>
        <w:p w14:paraId="414F9637" w14:textId="0DACD2AB" w:rsidR="00F672EB" w:rsidRDefault="00F672EB" w:rsidP="00F672EB">
          <w:pPr>
            <w:pStyle w:val="TOC1"/>
            <w:tabs>
              <w:tab w:val="right" w:leader="dot" w:pos="9350"/>
            </w:tabs>
            <w:adjustRightInd w:val="0"/>
            <w:snapToGrid w:val="0"/>
            <w:spacing w:after="240" w:line="240" w:lineRule="auto"/>
            <w:rPr>
              <w:rFonts w:eastAsiaTheme="minorEastAsia"/>
              <w:noProof/>
              <w:lang w:eastAsia="ko-KR"/>
            </w:rPr>
          </w:pPr>
          <w:hyperlink w:anchor="_Toc25068157" w:history="1">
            <w:r w:rsidRPr="00F60F99">
              <w:rPr>
                <w:rStyle w:val="Hyperlink"/>
                <w:rFonts w:ascii="Times New Roman" w:hAnsi="Times New Roman" w:cs="Times New Roman"/>
                <w:noProof/>
              </w:rPr>
              <w:t>SC14 2018 (NO STOCK ASSESSMENT)</w:t>
            </w:r>
            <w:r>
              <w:rPr>
                <w:noProof/>
                <w:webHidden/>
              </w:rPr>
              <w:tab/>
            </w:r>
            <w:r>
              <w:rPr>
                <w:noProof/>
                <w:webHidden/>
              </w:rPr>
              <w:fldChar w:fldCharType="begin"/>
            </w:r>
            <w:r>
              <w:rPr>
                <w:noProof/>
                <w:webHidden/>
              </w:rPr>
              <w:instrText xml:space="preserve"> PAGEREF _Toc25068157 \h </w:instrText>
            </w:r>
            <w:r>
              <w:rPr>
                <w:noProof/>
                <w:webHidden/>
              </w:rPr>
            </w:r>
            <w:r>
              <w:rPr>
                <w:noProof/>
                <w:webHidden/>
              </w:rPr>
              <w:fldChar w:fldCharType="separate"/>
            </w:r>
            <w:r>
              <w:rPr>
                <w:noProof/>
                <w:webHidden/>
              </w:rPr>
              <w:t>2</w:t>
            </w:r>
            <w:r>
              <w:rPr>
                <w:noProof/>
                <w:webHidden/>
              </w:rPr>
              <w:fldChar w:fldCharType="end"/>
            </w:r>
          </w:hyperlink>
        </w:p>
        <w:p w14:paraId="25429393" w14:textId="2A593659" w:rsidR="00F672EB" w:rsidRDefault="00F672EB" w:rsidP="00F672EB">
          <w:pPr>
            <w:pStyle w:val="TOC1"/>
            <w:tabs>
              <w:tab w:val="right" w:leader="dot" w:pos="9350"/>
            </w:tabs>
            <w:adjustRightInd w:val="0"/>
            <w:snapToGrid w:val="0"/>
            <w:spacing w:after="240" w:line="240" w:lineRule="auto"/>
            <w:rPr>
              <w:rFonts w:eastAsiaTheme="minorEastAsia"/>
              <w:noProof/>
              <w:lang w:eastAsia="ko-KR"/>
            </w:rPr>
          </w:pPr>
          <w:hyperlink w:anchor="_Toc25068158" w:history="1">
            <w:r w:rsidRPr="00F60F99">
              <w:rPr>
                <w:rStyle w:val="Hyperlink"/>
                <w:rFonts w:ascii="Times New Roman" w:hAnsi="Times New Roman" w:cs="Times New Roman"/>
                <w:noProof/>
              </w:rPr>
              <w:t>SC13 2017 (</w:t>
            </w:r>
            <w:r w:rsidRPr="00F60F99">
              <w:rPr>
                <w:rStyle w:val="Hyperlink"/>
                <w:rFonts w:ascii="Times New Roman" w:hAnsi="Times New Roman" w:cs="Times New Roman"/>
                <w:caps/>
                <w:noProof/>
              </w:rPr>
              <w:t>Risk Assessment CONDUCTED)</w:t>
            </w:r>
            <w:r>
              <w:rPr>
                <w:noProof/>
                <w:webHidden/>
              </w:rPr>
              <w:tab/>
            </w:r>
            <w:r>
              <w:rPr>
                <w:noProof/>
                <w:webHidden/>
              </w:rPr>
              <w:fldChar w:fldCharType="begin"/>
            </w:r>
            <w:r>
              <w:rPr>
                <w:noProof/>
                <w:webHidden/>
              </w:rPr>
              <w:instrText xml:space="preserve"> PAGEREF _Toc25068158 \h </w:instrText>
            </w:r>
            <w:r>
              <w:rPr>
                <w:noProof/>
                <w:webHidden/>
              </w:rPr>
            </w:r>
            <w:r>
              <w:rPr>
                <w:noProof/>
                <w:webHidden/>
              </w:rPr>
              <w:fldChar w:fldCharType="separate"/>
            </w:r>
            <w:r>
              <w:rPr>
                <w:noProof/>
                <w:webHidden/>
              </w:rPr>
              <w:t>2</w:t>
            </w:r>
            <w:r>
              <w:rPr>
                <w:noProof/>
                <w:webHidden/>
              </w:rPr>
              <w:fldChar w:fldCharType="end"/>
            </w:r>
          </w:hyperlink>
        </w:p>
        <w:p w14:paraId="06242ED8" w14:textId="2BBAB956" w:rsidR="00F672EB" w:rsidRDefault="00F672EB" w:rsidP="00F672EB">
          <w:pPr>
            <w:pStyle w:val="TOC1"/>
            <w:tabs>
              <w:tab w:val="right" w:leader="dot" w:pos="9350"/>
            </w:tabs>
            <w:adjustRightInd w:val="0"/>
            <w:snapToGrid w:val="0"/>
            <w:spacing w:after="240" w:line="240" w:lineRule="auto"/>
            <w:rPr>
              <w:rFonts w:eastAsiaTheme="minorEastAsia"/>
              <w:noProof/>
              <w:lang w:eastAsia="ko-KR"/>
            </w:rPr>
          </w:pPr>
          <w:hyperlink w:anchor="_Toc25068159" w:history="1">
            <w:r w:rsidRPr="00F60F99">
              <w:rPr>
                <w:rStyle w:val="Hyperlink"/>
                <w:rFonts w:ascii="Times New Roman" w:eastAsia="MS Mincho" w:hAnsi="Times New Roman" w:cs="Times New Roman"/>
                <w:noProof/>
                <w:lang w:val="en-NZ" w:eastAsia="en-NZ"/>
              </w:rPr>
              <w:t>USEFUL REFERENCES</w:t>
            </w:r>
            <w:r>
              <w:rPr>
                <w:noProof/>
                <w:webHidden/>
              </w:rPr>
              <w:tab/>
            </w:r>
            <w:r>
              <w:rPr>
                <w:noProof/>
                <w:webHidden/>
              </w:rPr>
              <w:fldChar w:fldCharType="begin"/>
            </w:r>
            <w:r>
              <w:rPr>
                <w:noProof/>
                <w:webHidden/>
              </w:rPr>
              <w:instrText xml:space="preserve"> PAGEREF _Toc25068159 \h </w:instrText>
            </w:r>
            <w:r>
              <w:rPr>
                <w:noProof/>
                <w:webHidden/>
              </w:rPr>
            </w:r>
            <w:r>
              <w:rPr>
                <w:noProof/>
                <w:webHidden/>
              </w:rPr>
              <w:fldChar w:fldCharType="separate"/>
            </w:r>
            <w:r>
              <w:rPr>
                <w:noProof/>
                <w:webHidden/>
              </w:rPr>
              <w:t>5</w:t>
            </w:r>
            <w:r>
              <w:rPr>
                <w:noProof/>
                <w:webHidden/>
              </w:rPr>
              <w:fldChar w:fldCharType="end"/>
            </w:r>
          </w:hyperlink>
        </w:p>
        <w:p w14:paraId="759032EC" w14:textId="3525D00A" w:rsidR="004B05DF" w:rsidRPr="007E27D6" w:rsidRDefault="004B05DF" w:rsidP="00F672EB">
          <w:pPr>
            <w:adjustRightInd w:val="0"/>
            <w:snapToGrid w:val="0"/>
            <w:spacing w:after="240" w:line="240" w:lineRule="auto"/>
            <w:rPr>
              <w:rFonts w:ascii="Times New Roman" w:hAnsi="Times New Roman" w:cs="Times New Roman"/>
            </w:rPr>
          </w:pPr>
          <w:r w:rsidRPr="007E27D6">
            <w:rPr>
              <w:rFonts w:ascii="Times New Roman" w:hAnsi="Times New Roman" w:cs="Times New Roman"/>
              <w:b/>
              <w:bCs/>
              <w:noProof/>
            </w:rPr>
            <w:fldChar w:fldCharType="end"/>
          </w:r>
        </w:p>
      </w:sdtContent>
    </w:sdt>
    <w:p w14:paraId="225E863F" w14:textId="77777777" w:rsidR="007E27D6" w:rsidRPr="007E27D6" w:rsidRDefault="007E27D6" w:rsidP="007E27D6">
      <w:pPr>
        <w:adjustRightInd w:val="0"/>
        <w:snapToGrid w:val="0"/>
        <w:spacing w:after="0" w:line="240" w:lineRule="auto"/>
        <w:rPr>
          <w:rFonts w:ascii="Times New Roman" w:eastAsiaTheme="majorEastAsia" w:hAnsi="Times New Roman" w:cs="Times New Roman"/>
          <w:color w:val="2F5496" w:themeColor="accent1" w:themeShade="BF"/>
          <w:sz w:val="32"/>
          <w:szCs w:val="32"/>
        </w:rPr>
      </w:pPr>
      <w:r w:rsidRPr="007E27D6">
        <w:rPr>
          <w:rFonts w:ascii="Times New Roman" w:hAnsi="Times New Roman" w:cs="Times New Roman"/>
        </w:rPr>
        <w:br w:type="page"/>
      </w:r>
    </w:p>
    <w:p w14:paraId="2C8AD9C2" w14:textId="772F77C1" w:rsidR="007E27D6" w:rsidRPr="00F672EB" w:rsidRDefault="007E27D6" w:rsidP="007E27D6">
      <w:pPr>
        <w:pStyle w:val="Heading1"/>
        <w:adjustRightInd w:val="0"/>
        <w:snapToGrid w:val="0"/>
        <w:spacing w:before="0" w:line="240" w:lineRule="auto"/>
        <w:rPr>
          <w:rFonts w:ascii="Times New Roman" w:hAnsi="Times New Roman" w:cs="Times New Roman"/>
          <w:b/>
          <w:bCs/>
          <w:sz w:val="28"/>
          <w:szCs w:val="28"/>
        </w:rPr>
      </w:pPr>
      <w:bookmarkStart w:id="0" w:name="_Toc25068156"/>
      <w:r w:rsidRPr="00F672EB">
        <w:rPr>
          <w:rFonts w:ascii="Times New Roman" w:hAnsi="Times New Roman" w:cs="Times New Roman"/>
          <w:b/>
          <w:bCs/>
          <w:sz w:val="28"/>
          <w:szCs w:val="28"/>
        </w:rPr>
        <w:lastRenderedPageBreak/>
        <w:t>SC1</w:t>
      </w:r>
      <w:r w:rsidRPr="00F672EB">
        <w:rPr>
          <w:rFonts w:ascii="Times New Roman" w:hAnsi="Times New Roman" w:cs="Times New Roman"/>
          <w:b/>
          <w:bCs/>
          <w:sz w:val="28"/>
          <w:szCs w:val="28"/>
        </w:rPr>
        <w:t>5</w:t>
      </w:r>
      <w:r w:rsidRPr="00F672EB">
        <w:rPr>
          <w:rFonts w:ascii="Times New Roman" w:hAnsi="Times New Roman" w:cs="Times New Roman"/>
          <w:b/>
          <w:bCs/>
          <w:sz w:val="28"/>
          <w:szCs w:val="28"/>
        </w:rPr>
        <w:t xml:space="preserve"> 201</w:t>
      </w:r>
      <w:r w:rsidRPr="00F672EB">
        <w:rPr>
          <w:rFonts w:ascii="Times New Roman" w:hAnsi="Times New Roman" w:cs="Times New Roman"/>
          <w:b/>
          <w:bCs/>
          <w:sz w:val="28"/>
          <w:szCs w:val="28"/>
        </w:rPr>
        <w:t>9 (NO STOCK ASSESSMENT)</w:t>
      </w:r>
      <w:bookmarkEnd w:id="0"/>
    </w:p>
    <w:p w14:paraId="1598EBE0" w14:textId="77777777" w:rsidR="007E27D6" w:rsidRPr="007E27D6" w:rsidRDefault="007E27D6" w:rsidP="007E27D6">
      <w:pPr>
        <w:pStyle w:val="ListParagraph"/>
        <w:adjustRightInd w:val="0"/>
        <w:snapToGrid w:val="0"/>
        <w:ind w:left="0" w:firstLine="0"/>
        <w:contextualSpacing w:val="0"/>
        <w:rPr>
          <w:rFonts w:ascii="Times New Roman" w:hAnsi="Times New Roman"/>
          <w:b/>
          <w:bCs/>
        </w:rPr>
      </w:pPr>
    </w:p>
    <w:p w14:paraId="65702C1A" w14:textId="48162BBE" w:rsidR="007E27D6" w:rsidRPr="007E27D6" w:rsidRDefault="007E27D6" w:rsidP="007E27D6">
      <w:pPr>
        <w:pStyle w:val="ListParagraph"/>
        <w:numPr>
          <w:ilvl w:val="0"/>
          <w:numId w:val="7"/>
        </w:numPr>
        <w:adjustRightInd w:val="0"/>
        <w:snapToGrid w:val="0"/>
        <w:ind w:left="0" w:firstLine="0"/>
        <w:contextualSpacing w:val="0"/>
        <w:rPr>
          <w:rFonts w:ascii="Times New Roman" w:hAnsi="Times New Roman"/>
          <w:b/>
          <w:bCs/>
        </w:rPr>
      </w:pPr>
      <w:r w:rsidRPr="007E27D6">
        <w:rPr>
          <w:rFonts w:ascii="Times New Roman" w:hAnsi="Times New Roman"/>
          <w:b/>
          <w:bCs/>
        </w:rPr>
        <w:t>Stock status and trends</w:t>
      </w:r>
    </w:p>
    <w:p w14:paraId="1B58DEE1" w14:textId="77777777" w:rsidR="007E27D6" w:rsidRPr="007E27D6" w:rsidRDefault="007E27D6" w:rsidP="007E27D6">
      <w:pPr>
        <w:pStyle w:val="ListParagraph"/>
        <w:adjustRightInd w:val="0"/>
        <w:snapToGrid w:val="0"/>
        <w:ind w:left="0"/>
        <w:contextualSpacing w:val="0"/>
        <w:rPr>
          <w:rFonts w:ascii="Times New Roman" w:hAnsi="Times New Roman"/>
        </w:rPr>
      </w:pPr>
    </w:p>
    <w:p w14:paraId="3B6B13C3" w14:textId="77777777" w:rsidR="007E27D6" w:rsidRPr="007E27D6" w:rsidRDefault="007E27D6" w:rsidP="007E27D6">
      <w:pPr>
        <w:pStyle w:val="WCPFC"/>
        <w:adjustRightInd w:val="0"/>
        <w:spacing w:after="0"/>
        <w:rPr>
          <w:rFonts w:cs="Times New Roman"/>
        </w:rPr>
      </w:pPr>
      <w:r w:rsidRPr="007E27D6">
        <w:rPr>
          <w:rFonts w:cs="Times New Roman"/>
        </w:rPr>
        <w:t xml:space="preserve">SC15 noted that no stock assessments were conducted for Pacific bigeye thresher shark in 2019. Therefore, the stock status descriptions from SC13 are still current for Pacific bigeye thresher shark. </w:t>
      </w:r>
      <w:bookmarkStart w:id="1" w:name="_Hlk23849385"/>
      <w:r w:rsidRPr="007E27D6">
        <w:rPr>
          <w:rFonts w:cs="Times New Roman"/>
        </w:rPr>
        <w:t xml:space="preserve">For further information on the stock status and trends from SC13, please see </w:t>
      </w:r>
      <w:hyperlink r:id="rId9" w:history="1">
        <w:r w:rsidRPr="007E27D6">
          <w:rPr>
            <w:rStyle w:val="Hyperlink"/>
            <w:rFonts w:cs="Times New Roman"/>
          </w:rPr>
          <w:t>https://www.wcpfc.int/node/29904</w:t>
        </w:r>
      </w:hyperlink>
      <w:r w:rsidRPr="007E27D6">
        <w:rPr>
          <w:rFonts w:cs="Times New Roman"/>
          <w:color w:val="0000FF"/>
        </w:rPr>
        <w:t xml:space="preserve">. </w:t>
      </w:r>
      <w:bookmarkEnd w:id="1"/>
      <w:r w:rsidRPr="007E27D6">
        <w:rPr>
          <w:rFonts w:cs="Times New Roman"/>
        </w:rPr>
        <w:t>Updated information on catches was not compiled for and reviewed by SC15.</w:t>
      </w:r>
    </w:p>
    <w:p w14:paraId="15E1F842" w14:textId="77777777" w:rsidR="007E27D6" w:rsidRPr="007E27D6" w:rsidRDefault="007E27D6" w:rsidP="007E27D6">
      <w:pPr>
        <w:pStyle w:val="SCa"/>
        <w:numPr>
          <w:ilvl w:val="0"/>
          <w:numId w:val="0"/>
        </w:numPr>
        <w:spacing w:after="0"/>
      </w:pPr>
    </w:p>
    <w:p w14:paraId="18FDBC58" w14:textId="77777777" w:rsidR="007E27D6" w:rsidRPr="007E27D6" w:rsidRDefault="007E27D6" w:rsidP="007E27D6">
      <w:pPr>
        <w:pStyle w:val="SCa"/>
        <w:numPr>
          <w:ilvl w:val="0"/>
          <w:numId w:val="7"/>
        </w:numPr>
        <w:tabs>
          <w:tab w:val="clear" w:pos="720"/>
          <w:tab w:val="clear" w:pos="1080"/>
        </w:tabs>
        <w:spacing w:after="0"/>
        <w:ind w:left="0" w:firstLine="0"/>
      </w:pPr>
      <w:r w:rsidRPr="007E27D6">
        <w:t>Management advice and implications</w:t>
      </w:r>
    </w:p>
    <w:p w14:paraId="592F3091" w14:textId="77777777" w:rsidR="007E27D6" w:rsidRPr="007E27D6" w:rsidRDefault="007E27D6" w:rsidP="007E27D6">
      <w:pPr>
        <w:pStyle w:val="SCa"/>
        <w:numPr>
          <w:ilvl w:val="0"/>
          <w:numId w:val="0"/>
        </w:numPr>
        <w:spacing w:after="0"/>
      </w:pPr>
    </w:p>
    <w:p w14:paraId="02671826" w14:textId="62D8A4ED" w:rsidR="007E27D6" w:rsidRPr="007E27D6" w:rsidRDefault="007E27D6" w:rsidP="007E27D6">
      <w:pPr>
        <w:pStyle w:val="WCPFC"/>
        <w:adjustRightInd w:val="0"/>
        <w:spacing w:after="0"/>
        <w:ind w:left="0" w:firstLine="0"/>
        <w:rPr>
          <w:rStyle w:val="Hyperlink"/>
          <w:rFonts w:cs="Times New Roman"/>
          <w:bCs/>
          <w:lang w:val="en-AU"/>
        </w:rPr>
      </w:pPr>
      <w:r w:rsidRPr="007E27D6">
        <w:rPr>
          <w:rFonts w:cs="Times New Roman"/>
          <w:bCs/>
        </w:rPr>
        <w:t xml:space="preserve">SC15 noted that no management advice has been provided since SC13 for </w:t>
      </w:r>
      <w:r w:rsidRPr="007E27D6">
        <w:rPr>
          <w:rFonts w:cs="Times New Roman"/>
        </w:rPr>
        <w:t>Pacific bigeye thresher shark</w:t>
      </w:r>
      <w:r w:rsidRPr="007E27D6">
        <w:rPr>
          <w:rFonts w:cs="Times New Roman"/>
          <w:bCs/>
        </w:rPr>
        <w:t xml:space="preserve">. Therefore, previous advice should be maintained, pending a new assessment or other new information. </w:t>
      </w:r>
      <w:r w:rsidRPr="007E27D6">
        <w:rPr>
          <w:rFonts w:cs="Times New Roman"/>
          <w:bCs/>
          <w:lang w:val="en-AU"/>
        </w:rPr>
        <w:t xml:space="preserve">For further information on the management advice and implications from SC13, please see </w:t>
      </w:r>
      <w:hyperlink r:id="rId10" w:history="1">
        <w:r w:rsidRPr="007E27D6">
          <w:rPr>
            <w:rStyle w:val="Hyperlink"/>
            <w:rFonts w:cs="Times New Roman"/>
          </w:rPr>
          <w:t>https://www.wcpfc.int/node/29904</w:t>
        </w:r>
      </w:hyperlink>
      <w:r w:rsidRPr="007E27D6">
        <w:rPr>
          <w:rStyle w:val="Hyperlink"/>
          <w:rFonts w:cs="Times New Roman"/>
          <w:bCs/>
          <w:lang w:val="en-AU"/>
        </w:rPr>
        <w:t>.</w:t>
      </w:r>
    </w:p>
    <w:p w14:paraId="2C3C14C8" w14:textId="17F5F9BA" w:rsidR="007E27D6" w:rsidRPr="007E27D6" w:rsidRDefault="007E27D6" w:rsidP="007E27D6">
      <w:pPr>
        <w:pStyle w:val="WCPFC"/>
        <w:numPr>
          <w:ilvl w:val="0"/>
          <w:numId w:val="0"/>
        </w:numPr>
        <w:adjustRightInd w:val="0"/>
        <w:spacing w:after="0"/>
        <w:ind w:left="567" w:hanging="567"/>
        <w:rPr>
          <w:rStyle w:val="Hyperlink"/>
          <w:rFonts w:cs="Times New Roman"/>
          <w:bCs/>
          <w:lang w:val="en-AU"/>
        </w:rPr>
      </w:pPr>
    </w:p>
    <w:p w14:paraId="527A0978" w14:textId="2ECA2393" w:rsidR="007E27D6" w:rsidRPr="007E27D6" w:rsidRDefault="007E27D6" w:rsidP="007E27D6">
      <w:pPr>
        <w:pStyle w:val="WCPFC"/>
        <w:numPr>
          <w:ilvl w:val="0"/>
          <w:numId w:val="0"/>
        </w:numPr>
        <w:adjustRightInd w:val="0"/>
        <w:spacing w:after="0"/>
        <w:ind w:left="567" w:hanging="567"/>
        <w:rPr>
          <w:rStyle w:val="Hyperlink"/>
          <w:rFonts w:cs="Times New Roman"/>
          <w:bCs/>
          <w:lang w:val="en-AU"/>
        </w:rPr>
      </w:pPr>
    </w:p>
    <w:p w14:paraId="091D63F2" w14:textId="39911717" w:rsidR="00D82A01" w:rsidRPr="00F672EB" w:rsidRDefault="00D82A01" w:rsidP="007E27D6">
      <w:pPr>
        <w:pStyle w:val="Heading1"/>
        <w:adjustRightInd w:val="0"/>
        <w:snapToGrid w:val="0"/>
        <w:spacing w:before="0" w:line="240" w:lineRule="auto"/>
        <w:rPr>
          <w:rFonts w:ascii="Times New Roman" w:hAnsi="Times New Roman" w:cs="Times New Roman"/>
          <w:b/>
          <w:bCs/>
          <w:sz w:val="28"/>
          <w:szCs w:val="28"/>
        </w:rPr>
      </w:pPr>
      <w:bookmarkStart w:id="2" w:name="_Toc25068157"/>
      <w:r w:rsidRPr="00F672EB">
        <w:rPr>
          <w:rFonts w:ascii="Times New Roman" w:hAnsi="Times New Roman" w:cs="Times New Roman"/>
          <w:b/>
          <w:bCs/>
          <w:sz w:val="28"/>
          <w:szCs w:val="28"/>
        </w:rPr>
        <w:t>SC14 2018</w:t>
      </w:r>
      <w:r w:rsidR="007E27D6" w:rsidRPr="00F672EB">
        <w:rPr>
          <w:rFonts w:ascii="Times New Roman" w:hAnsi="Times New Roman" w:cs="Times New Roman"/>
          <w:b/>
          <w:bCs/>
          <w:sz w:val="28"/>
          <w:szCs w:val="28"/>
        </w:rPr>
        <w:t xml:space="preserve"> (NO STOCK ASSESSMENT)</w:t>
      </w:r>
      <w:bookmarkEnd w:id="2"/>
    </w:p>
    <w:p w14:paraId="14F3EE05" w14:textId="77777777" w:rsidR="00D82A01" w:rsidRPr="007E27D6" w:rsidRDefault="00D82A01" w:rsidP="007E27D6">
      <w:pPr>
        <w:tabs>
          <w:tab w:val="left" w:pos="820"/>
        </w:tabs>
        <w:adjustRightInd w:val="0"/>
        <w:snapToGrid w:val="0"/>
        <w:spacing w:after="0" w:line="240" w:lineRule="auto"/>
        <w:rPr>
          <w:rFonts w:ascii="Times New Roman" w:hAnsi="Times New Roman" w:cs="Times New Roman"/>
          <w:b/>
          <w:sz w:val="24"/>
          <w:szCs w:val="24"/>
        </w:rPr>
      </w:pPr>
    </w:p>
    <w:p w14:paraId="61E35D6A" w14:textId="77777777" w:rsidR="007E27D6" w:rsidRPr="00F672EB" w:rsidRDefault="007E27D6" w:rsidP="00F672EB">
      <w:pPr>
        <w:pStyle w:val="WCPFC"/>
        <w:numPr>
          <w:ilvl w:val="0"/>
          <w:numId w:val="13"/>
        </w:numPr>
        <w:autoSpaceDE w:val="0"/>
        <w:autoSpaceDN w:val="0"/>
        <w:adjustRightInd w:val="0"/>
        <w:spacing w:after="0"/>
        <w:ind w:left="0" w:firstLine="0"/>
        <w:rPr>
          <w:rFonts w:eastAsia="Batang" w:cs="Times New Roman"/>
          <w:lang w:eastAsia="ko-KR"/>
        </w:rPr>
      </w:pPr>
      <w:r w:rsidRPr="00F672EB">
        <w:rPr>
          <w:rFonts w:eastAsia="Batang" w:cs="Times New Roman"/>
          <w:lang w:eastAsia="ko-KR"/>
        </w:rPr>
        <w:t xml:space="preserve">A Pacific-wide sustainability risk assessment of bigeye thresher shark was conducted in 2017. SC14 received no new information. </w:t>
      </w:r>
    </w:p>
    <w:p w14:paraId="6A839FF2" w14:textId="77777777" w:rsidR="007E27D6" w:rsidRPr="007E27D6" w:rsidRDefault="007E27D6" w:rsidP="00F672EB">
      <w:pPr>
        <w:autoSpaceDE w:val="0"/>
        <w:autoSpaceDN w:val="0"/>
        <w:adjustRightInd w:val="0"/>
        <w:snapToGrid w:val="0"/>
        <w:spacing w:after="0" w:line="240" w:lineRule="auto"/>
        <w:jc w:val="both"/>
        <w:rPr>
          <w:rFonts w:ascii="Times New Roman" w:eastAsia="Batang" w:hAnsi="Times New Roman" w:cs="Times New Roman"/>
          <w:lang w:val="en-NZ" w:eastAsia="ko-KR"/>
        </w:rPr>
      </w:pPr>
    </w:p>
    <w:p w14:paraId="521A9652" w14:textId="642FA7D8" w:rsidR="007E27D6" w:rsidRPr="007E27D6" w:rsidRDefault="007E27D6" w:rsidP="00F672EB">
      <w:pPr>
        <w:pStyle w:val="SCa"/>
        <w:tabs>
          <w:tab w:val="clear" w:pos="720"/>
          <w:tab w:val="clear" w:pos="1080"/>
        </w:tabs>
        <w:spacing w:after="0"/>
        <w:ind w:left="0" w:firstLine="0"/>
      </w:pPr>
      <w:r w:rsidRPr="007E27D6">
        <w:t xml:space="preserve">Status and trends </w:t>
      </w:r>
    </w:p>
    <w:p w14:paraId="6105A35A" w14:textId="77777777" w:rsidR="007E27D6" w:rsidRPr="007E27D6" w:rsidRDefault="007E27D6" w:rsidP="00F672EB">
      <w:pPr>
        <w:pStyle w:val="SCa"/>
        <w:numPr>
          <w:ilvl w:val="0"/>
          <w:numId w:val="0"/>
        </w:numPr>
        <w:spacing w:after="0"/>
      </w:pPr>
    </w:p>
    <w:p w14:paraId="30588C30" w14:textId="59AFCD58" w:rsidR="007E27D6" w:rsidRPr="00F672EB" w:rsidRDefault="007E27D6" w:rsidP="00F672EB">
      <w:pPr>
        <w:pStyle w:val="WCPFC"/>
        <w:numPr>
          <w:ilvl w:val="0"/>
          <w:numId w:val="13"/>
        </w:numPr>
        <w:autoSpaceDE w:val="0"/>
        <w:autoSpaceDN w:val="0"/>
        <w:adjustRightInd w:val="0"/>
        <w:spacing w:after="0"/>
        <w:ind w:left="0" w:firstLine="0"/>
        <w:rPr>
          <w:rFonts w:eastAsia="Batang" w:cs="Times New Roman"/>
          <w:bCs/>
          <w:lang w:eastAsia="ko-KR"/>
        </w:rPr>
      </w:pPr>
      <w:r w:rsidRPr="00F672EB">
        <w:rPr>
          <w:rFonts w:eastAsia="Batang" w:cs="Times New Roman"/>
          <w:bCs/>
          <w:lang w:eastAsia="ko-KR"/>
        </w:rPr>
        <w:t xml:space="preserve">SC14 noted that no stock assessments were conducted for Pacific bigeye thresher shark in 2018. Therefore, the stock status descriptions from SC13 are still current for Pacific bigeye thresher shark respectively. Updated information on catches was not compiled for and reviewed by SC14. </w:t>
      </w:r>
    </w:p>
    <w:p w14:paraId="5006D4C5" w14:textId="77777777" w:rsidR="007E27D6" w:rsidRPr="007E27D6" w:rsidRDefault="007E27D6" w:rsidP="00F672EB">
      <w:pPr>
        <w:autoSpaceDE w:val="0"/>
        <w:autoSpaceDN w:val="0"/>
        <w:adjustRightInd w:val="0"/>
        <w:snapToGrid w:val="0"/>
        <w:spacing w:after="0" w:line="240" w:lineRule="auto"/>
        <w:jc w:val="both"/>
        <w:rPr>
          <w:rFonts w:ascii="Times New Roman" w:eastAsia="Batang" w:hAnsi="Times New Roman" w:cs="Times New Roman"/>
          <w:b/>
          <w:lang w:val="en-NZ" w:eastAsia="ko-KR"/>
        </w:rPr>
      </w:pPr>
    </w:p>
    <w:p w14:paraId="311D6069" w14:textId="1346E808" w:rsidR="007E27D6" w:rsidRPr="007E27D6" w:rsidRDefault="007E27D6" w:rsidP="00F672EB">
      <w:pPr>
        <w:pStyle w:val="SCa"/>
        <w:tabs>
          <w:tab w:val="clear" w:pos="720"/>
          <w:tab w:val="clear" w:pos="1080"/>
        </w:tabs>
        <w:spacing w:after="0"/>
        <w:ind w:left="0" w:firstLine="0"/>
      </w:pPr>
      <w:r w:rsidRPr="007E27D6">
        <w:t xml:space="preserve">Management advice and implications </w:t>
      </w:r>
    </w:p>
    <w:p w14:paraId="4F0863A0" w14:textId="77777777" w:rsidR="007E27D6" w:rsidRPr="007E27D6" w:rsidRDefault="007E27D6" w:rsidP="00F672EB">
      <w:pPr>
        <w:pStyle w:val="SCa"/>
        <w:numPr>
          <w:ilvl w:val="0"/>
          <w:numId w:val="0"/>
        </w:numPr>
        <w:spacing w:after="0"/>
      </w:pPr>
    </w:p>
    <w:p w14:paraId="0FE2D5E8" w14:textId="77777777" w:rsidR="007E27D6" w:rsidRPr="007E27D6" w:rsidRDefault="007E27D6" w:rsidP="00F672EB">
      <w:pPr>
        <w:numPr>
          <w:ilvl w:val="0"/>
          <w:numId w:val="1"/>
        </w:numPr>
        <w:autoSpaceDE w:val="0"/>
        <w:autoSpaceDN w:val="0"/>
        <w:adjustRightInd w:val="0"/>
        <w:snapToGrid w:val="0"/>
        <w:spacing w:after="0" w:line="240" w:lineRule="auto"/>
        <w:ind w:left="0" w:firstLine="0"/>
        <w:jc w:val="both"/>
        <w:rPr>
          <w:rStyle w:val="Hyperlink"/>
          <w:rFonts w:ascii="Times New Roman" w:hAnsi="Times New Roman" w:cs="Times New Roman"/>
          <w:color w:val="auto"/>
          <w:lang w:val="en-AU"/>
        </w:rPr>
      </w:pPr>
      <w:r w:rsidRPr="007E27D6">
        <w:rPr>
          <w:rFonts w:ascii="Times New Roman" w:hAnsi="Times New Roman" w:cs="Times New Roman"/>
          <w:lang w:val="en-AU"/>
        </w:rPr>
        <w:t xml:space="preserve">SC14 noted that no management advice has been provided since SC13 for Pacific bigeye thresher shark. Therefore, previous advice should be maintained, pending a new assessment or other new information. </w:t>
      </w:r>
      <w:r w:rsidRPr="007E27D6">
        <w:rPr>
          <w:rFonts w:ascii="Times New Roman" w:hAnsi="Times New Roman" w:cs="Times New Roman"/>
        </w:rPr>
        <w:t xml:space="preserve">For further information on the management advice and implications from SC13, please see </w:t>
      </w:r>
      <w:hyperlink r:id="rId11" w:history="1">
        <w:r w:rsidRPr="007E27D6">
          <w:rPr>
            <w:rStyle w:val="Hyperlink"/>
            <w:rFonts w:ascii="Times New Roman" w:hAnsi="Times New Roman" w:cs="Times New Roman"/>
          </w:rPr>
          <w:t>https://www.wcpfc.int/node/29904</w:t>
        </w:r>
      </w:hyperlink>
      <w:r w:rsidRPr="007E27D6">
        <w:rPr>
          <w:rStyle w:val="Hyperlink"/>
          <w:rFonts w:ascii="Times New Roman" w:hAnsi="Times New Roman" w:cs="Times New Roman"/>
        </w:rPr>
        <w:t xml:space="preserve"> </w:t>
      </w:r>
    </w:p>
    <w:p w14:paraId="0C34E486" w14:textId="22AD3F8D" w:rsidR="007E27D6" w:rsidRDefault="007E27D6" w:rsidP="007E27D6">
      <w:pPr>
        <w:autoSpaceDE w:val="0"/>
        <w:autoSpaceDN w:val="0"/>
        <w:adjustRightInd w:val="0"/>
        <w:snapToGrid w:val="0"/>
        <w:spacing w:after="0" w:line="240" w:lineRule="auto"/>
        <w:jc w:val="both"/>
        <w:rPr>
          <w:rFonts w:ascii="Times New Roman" w:hAnsi="Times New Roman" w:cs="Times New Roman"/>
          <w:b/>
          <w:bCs/>
          <w:lang w:val="en-AU"/>
        </w:rPr>
      </w:pPr>
    </w:p>
    <w:p w14:paraId="6B6BC8EE" w14:textId="77777777" w:rsidR="00F672EB" w:rsidRPr="007E27D6" w:rsidRDefault="00F672EB" w:rsidP="007E27D6">
      <w:pPr>
        <w:autoSpaceDE w:val="0"/>
        <w:autoSpaceDN w:val="0"/>
        <w:adjustRightInd w:val="0"/>
        <w:snapToGrid w:val="0"/>
        <w:spacing w:after="0" w:line="240" w:lineRule="auto"/>
        <w:jc w:val="both"/>
        <w:rPr>
          <w:rFonts w:ascii="Times New Roman" w:hAnsi="Times New Roman" w:cs="Times New Roman"/>
          <w:b/>
          <w:bCs/>
          <w:lang w:val="en-AU"/>
        </w:rPr>
      </w:pPr>
    </w:p>
    <w:p w14:paraId="37FE8218" w14:textId="5F4F50FB" w:rsidR="004B05DF" w:rsidRPr="00F672EB" w:rsidRDefault="004B05DF" w:rsidP="007E27D6">
      <w:pPr>
        <w:pStyle w:val="Heading1"/>
        <w:adjustRightInd w:val="0"/>
        <w:snapToGrid w:val="0"/>
        <w:spacing w:before="0" w:line="240" w:lineRule="auto"/>
        <w:rPr>
          <w:rFonts w:ascii="Times New Roman" w:hAnsi="Times New Roman" w:cs="Times New Roman"/>
          <w:b/>
          <w:bCs/>
          <w:caps/>
          <w:sz w:val="28"/>
          <w:szCs w:val="28"/>
        </w:rPr>
      </w:pPr>
      <w:bookmarkStart w:id="3" w:name="_Toc25068158"/>
      <w:r w:rsidRPr="00F672EB">
        <w:rPr>
          <w:rFonts w:ascii="Times New Roman" w:hAnsi="Times New Roman" w:cs="Times New Roman"/>
          <w:b/>
          <w:bCs/>
          <w:sz w:val="28"/>
          <w:szCs w:val="28"/>
        </w:rPr>
        <w:t>SC13 2017</w:t>
      </w:r>
      <w:r w:rsidR="00706812" w:rsidRPr="00F672EB">
        <w:rPr>
          <w:rFonts w:ascii="Times New Roman" w:hAnsi="Times New Roman" w:cs="Times New Roman"/>
          <w:b/>
          <w:bCs/>
          <w:sz w:val="28"/>
          <w:szCs w:val="28"/>
        </w:rPr>
        <w:t xml:space="preserve"> (</w:t>
      </w:r>
      <w:r w:rsidR="00706812" w:rsidRPr="00F672EB">
        <w:rPr>
          <w:rFonts w:ascii="Times New Roman" w:hAnsi="Times New Roman" w:cs="Times New Roman"/>
          <w:b/>
          <w:bCs/>
          <w:caps/>
          <w:sz w:val="28"/>
          <w:szCs w:val="28"/>
        </w:rPr>
        <w:t>Risk Assessment</w:t>
      </w:r>
      <w:r w:rsidR="007E27D6" w:rsidRPr="00F672EB">
        <w:rPr>
          <w:rFonts w:ascii="Times New Roman" w:hAnsi="Times New Roman" w:cs="Times New Roman"/>
          <w:b/>
          <w:bCs/>
          <w:caps/>
          <w:sz w:val="28"/>
          <w:szCs w:val="28"/>
        </w:rPr>
        <w:t xml:space="preserve"> CONDUCTED</w:t>
      </w:r>
      <w:r w:rsidR="00706812" w:rsidRPr="00F672EB">
        <w:rPr>
          <w:rFonts w:ascii="Times New Roman" w:hAnsi="Times New Roman" w:cs="Times New Roman"/>
          <w:b/>
          <w:bCs/>
          <w:caps/>
          <w:sz w:val="28"/>
          <w:szCs w:val="28"/>
        </w:rPr>
        <w:t>)</w:t>
      </w:r>
      <w:bookmarkEnd w:id="3"/>
    </w:p>
    <w:p w14:paraId="7DF56483" w14:textId="77777777" w:rsidR="007E27D6" w:rsidRPr="00F672EB" w:rsidRDefault="007E27D6" w:rsidP="007E27D6">
      <w:pPr>
        <w:pStyle w:val="ListParagraph"/>
        <w:adjustRightInd w:val="0"/>
        <w:snapToGrid w:val="0"/>
        <w:contextualSpacing w:val="0"/>
        <w:rPr>
          <w:rFonts w:ascii="Times New Roman" w:hAnsi="Times New Roman"/>
          <w:caps/>
          <w:lang w:val="en-AU"/>
        </w:rPr>
      </w:pPr>
    </w:p>
    <w:p w14:paraId="4A1DE708" w14:textId="77777777" w:rsidR="007E27D6" w:rsidRPr="007E27D6" w:rsidRDefault="007E27D6" w:rsidP="007E27D6">
      <w:pPr>
        <w:pStyle w:val="ListParagraph"/>
        <w:numPr>
          <w:ilvl w:val="0"/>
          <w:numId w:val="12"/>
        </w:numPr>
        <w:adjustRightInd w:val="0"/>
        <w:snapToGrid w:val="0"/>
        <w:ind w:left="0" w:firstLine="0"/>
        <w:contextualSpacing w:val="0"/>
        <w:rPr>
          <w:rFonts w:ascii="Times New Roman" w:hAnsi="Times New Roman"/>
          <w:b/>
        </w:rPr>
      </w:pPr>
      <w:r w:rsidRPr="007E27D6">
        <w:rPr>
          <w:rFonts w:ascii="Times New Roman" w:hAnsi="Times New Roman"/>
          <w:b/>
          <w:lang w:eastAsia="ko-KR"/>
        </w:rPr>
        <w:t>Stock s</w:t>
      </w:r>
      <w:r w:rsidRPr="007E27D6">
        <w:rPr>
          <w:rFonts w:ascii="Times New Roman" w:hAnsi="Times New Roman"/>
          <w:b/>
        </w:rPr>
        <w:t>tatus and trends</w:t>
      </w:r>
    </w:p>
    <w:p w14:paraId="7834F80B" w14:textId="77777777" w:rsidR="007E27D6" w:rsidRPr="007E27D6" w:rsidRDefault="007E27D6" w:rsidP="007E27D6">
      <w:pPr>
        <w:pStyle w:val="ListParagraph"/>
        <w:adjustRightInd w:val="0"/>
        <w:snapToGrid w:val="0"/>
        <w:ind w:firstLine="0"/>
        <w:contextualSpacing w:val="0"/>
        <w:rPr>
          <w:rFonts w:ascii="Times New Roman" w:hAnsi="Times New Roman"/>
          <w:b/>
        </w:rPr>
      </w:pPr>
    </w:p>
    <w:p w14:paraId="231CAB8B" w14:textId="368FCBB4" w:rsidR="007E27D6" w:rsidRPr="00F672EB" w:rsidRDefault="007E27D6" w:rsidP="00F672EB">
      <w:pPr>
        <w:pStyle w:val="ListParagraph"/>
        <w:numPr>
          <w:ilvl w:val="0"/>
          <w:numId w:val="14"/>
        </w:numPr>
        <w:autoSpaceDE w:val="0"/>
        <w:autoSpaceDN w:val="0"/>
        <w:adjustRightInd w:val="0"/>
        <w:snapToGrid w:val="0"/>
        <w:ind w:left="0" w:firstLine="0"/>
        <w:rPr>
          <w:rFonts w:ascii="Times New Roman" w:hAnsi="Times New Roman"/>
          <w:bCs/>
          <w:lang w:val="en-AU"/>
        </w:rPr>
      </w:pPr>
      <w:r w:rsidRPr="00F672EB">
        <w:rPr>
          <w:rFonts w:ascii="Times New Roman" w:hAnsi="Times New Roman"/>
          <w:bCs/>
          <w:lang w:val="en-AU"/>
        </w:rPr>
        <w:t>SC13 noted that the results of the assessment indicate that assuming a range of longline post-capture survival rates of 30-70%, which likely reflects current fishing operations, median sustainability risk for the 2000-2014 period ranged between:</w:t>
      </w:r>
    </w:p>
    <w:p w14:paraId="1DEDBC8E" w14:textId="77777777" w:rsidR="007E27D6" w:rsidRPr="007E27D6" w:rsidRDefault="007E27D6" w:rsidP="007E27D6">
      <w:pPr>
        <w:pStyle w:val="WCPFC"/>
        <w:numPr>
          <w:ilvl w:val="0"/>
          <w:numId w:val="11"/>
        </w:numPr>
        <w:adjustRightInd w:val="0"/>
        <w:spacing w:after="0"/>
        <w:ind w:left="1080" w:hanging="357"/>
        <w:rPr>
          <w:rFonts w:cs="Times New Roman"/>
          <w:bCs/>
        </w:rPr>
      </w:pPr>
      <w:r w:rsidRPr="007E27D6">
        <w:rPr>
          <w:rFonts w:cs="Times New Roman"/>
          <w:bCs/>
          <w:lang w:eastAsia="ja-JP"/>
        </w:rPr>
        <w:t xml:space="preserve"> </w:t>
      </w:r>
      <w:r w:rsidRPr="007E27D6">
        <w:rPr>
          <w:rFonts w:cs="Times New Roman"/>
          <w:bCs/>
        </w:rPr>
        <w:t xml:space="preserve">20% below to 60% above the MIST </w:t>
      </w:r>
      <w:r w:rsidRPr="007E27D6">
        <w:rPr>
          <w:rFonts w:cs="Times New Roman"/>
          <w:bCs/>
          <w:lang w:eastAsia="ja-JP"/>
        </w:rPr>
        <w:t>based on</w:t>
      </w:r>
      <w:r w:rsidRPr="007E27D6">
        <w:rPr>
          <w:rFonts w:cs="Times New Roman"/>
          <w:bCs/>
        </w:rPr>
        <w:t xml:space="preserve"> 0.5</w:t>
      </w:r>
      <w:r w:rsidRPr="007E27D6">
        <w:rPr>
          <w:rFonts w:cs="Times New Roman"/>
          <w:bCs/>
          <w:i/>
        </w:rPr>
        <w:t>r</w:t>
      </w:r>
      <w:r w:rsidRPr="007E27D6">
        <w:rPr>
          <w:rFonts w:cs="Times New Roman"/>
          <w:bCs/>
        </w:rPr>
        <w:t xml:space="preserve">, </w:t>
      </w:r>
    </w:p>
    <w:p w14:paraId="44674AE2" w14:textId="77777777" w:rsidR="007E27D6" w:rsidRPr="007E27D6" w:rsidRDefault="007E27D6" w:rsidP="007E27D6">
      <w:pPr>
        <w:pStyle w:val="WCPFC"/>
        <w:numPr>
          <w:ilvl w:val="0"/>
          <w:numId w:val="11"/>
        </w:numPr>
        <w:adjustRightInd w:val="0"/>
        <w:spacing w:after="0"/>
        <w:ind w:left="1080" w:hanging="357"/>
        <w:rPr>
          <w:rFonts w:cs="Times New Roman"/>
          <w:bCs/>
        </w:rPr>
      </w:pPr>
      <w:r w:rsidRPr="007E27D6">
        <w:rPr>
          <w:rFonts w:cs="Times New Roman"/>
          <w:bCs/>
          <w:lang w:eastAsia="ja-JP"/>
        </w:rPr>
        <w:t xml:space="preserve"> </w:t>
      </w:r>
      <w:r w:rsidRPr="007E27D6">
        <w:rPr>
          <w:rFonts w:cs="Times New Roman"/>
          <w:bCs/>
        </w:rPr>
        <w:t>50% below to 10% above the MIST based on 0.75</w:t>
      </w:r>
      <w:r w:rsidRPr="007E27D6">
        <w:rPr>
          <w:rFonts w:cs="Times New Roman"/>
          <w:bCs/>
          <w:i/>
        </w:rPr>
        <w:t>r</w:t>
      </w:r>
      <w:r w:rsidRPr="007E27D6">
        <w:rPr>
          <w:rFonts w:cs="Times New Roman"/>
          <w:bCs/>
        </w:rPr>
        <w:t xml:space="preserve">, and </w:t>
      </w:r>
    </w:p>
    <w:p w14:paraId="49B09BE3" w14:textId="77777777" w:rsidR="007E27D6" w:rsidRPr="007E27D6" w:rsidRDefault="007E27D6" w:rsidP="007E27D6">
      <w:pPr>
        <w:pStyle w:val="WCPFC"/>
        <w:numPr>
          <w:ilvl w:val="0"/>
          <w:numId w:val="11"/>
        </w:numPr>
        <w:adjustRightInd w:val="0"/>
        <w:spacing w:after="0"/>
        <w:ind w:left="1080" w:hanging="357"/>
        <w:rPr>
          <w:rFonts w:cs="Times New Roman"/>
          <w:bCs/>
        </w:rPr>
      </w:pPr>
      <w:r w:rsidRPr="007E27D6">
        <w:rPr>
          <w:rFonts w:cs="Times New Roman"/>
          <w:bCs/>
          <w:lang w:eastAsia="ja-JP"/>
        </w:rPr>
        <w:t xml:space="preserve"> </w:t>
      </w:r>
      <w:r w:rsidRPr="007E27D6">
        <w:rPr>
          <w:rFonts w:cs="Times New Roman"/>
          <w:bCs/>
        </w:rPr>
        <w:t xml:space="preserve">60% to 20% below the MIST based on </w:t>
      </w:r>
      <w:r w:rsidRPr="007E27D6">
        <w:rPr>
          <w:rFonts w:cs="Times New Roman"/>
          <w:bCs/>
          <w:i/>
        </w:rPr>
        <w:t>r</w:t>
      </w:r>
      <w:r w:rsidRPr="007E27D6">
        <w:rPr>
          <w:rFonts w:cs="Times New Roman"/>
          <w:bCs/>
        </w:rPr>
        <w:t xml:space="preserve">. </w:t>
      </w:r>
    </w:p>
    <w:p w14:paraId="175940DD" w14:textId="77777777" w:rsidR="007E27D6" w:rsidRPr="007E27D6" w:rsidRDefault="007E27D6" w:rsidP="007E27D6">
      <w:pPr>
        <w:autoSpaceDE w:val="0"/>
        <w:autoSpaceDN w:val="0"/>
        <w:adjustRightInd w:val="0"/>
        <w:snapToGrid w:val="0"/>
        <w:spacing w:after="0" w:line="240" w:lineRule="auto"/>
        <w:rPr>
          <w:rFonts w:ascii="Times New Roman" w:hAnsi="Times New Roman" w:cs="Times New Roman"/>
          <w:bCs/>
          <w:lang w:val="en-AU"/>
        </w:rPr>
      </w:pPr>
    </w:p>
    <w:p w14:paraId="561A1941" w14:textId="0F78D65B" w:rsidR="007E27D6" w:rsidRPr="00F672EB" w:rsidRDefault="007E27D6" w:rsidP="00F672EB">
      <w:pPr>
        <w:pStyle w:val="ListParagraph"/>
        <w:numPr>
          <w:ilvl w:val="0"/>
          <w:numId w:val="14"/>
        </w:numPr>
        <w:autoSpaceDE w:val="0"/>
        <w:autoSpaceDN w:val="0"/>
        <w:adjustRightInd w:val="0"/>
        <w:snapToGrid w:val="0"/>
        <w:ind w:left="0" w:firstLine="0"/>
        <w:rPr>
          <w:rFonts w:ascii="Times New Roman" w:hAnsi="Times New Roman"/>
          <w:bCs/>
          <w:lang w:val="en-AU"/>
        </w:rPr>
      </w:pPr>
      <w:r w:rsidRPr="00F672EB">
        <w:rPr>
          <w:rFonts w:ascii="Times New Roman" w:hAnsi="Times New Roman"/>
          <w:bCs/>
          <w:lang w:val="en-AU"/>
        </w:rPr>
        <w:lastRenderedPageBreak/>
        <w:t xml:space="preserve">SC13 also noted that CPUE increased in </w:t>
      </w:r>
      <w:r w:rsidRPr="00F672EB">
        <w:rPr>
          <w:rFonts w:ascii="Times New Roman" w:hAnsi="Times New Roman"/>
          <w:bCs/>
          <w:lang w:val="en-AU" w:eastAsia="ko-KR"/>
        </w:rPr>
        <w:t xml:space="preserve">the </w:t>
      </w:r>
      <w:r w:rsidRPr="00F672EB">
        <w:rPr>
          <w:rFonts w:ascii="Times New Roman" w:hAnsi="Times New Roman"/>
          <w:bCs/>
          <w:lang w:val="en-AU"/>
        </w:rPr>
        <w:t xml:space="preserve">calibration area (the Hawaii-based fleet) in the last year of the assessment. This may suggest </w:t>
      </w:r>
      <w:r w:rsidRPr="00F672EB">
        <w:rPr>
          <w:rFonts w:ascii="Times New Roman" w:hAnsi="Times New Roman"/>
          <w:bCs/>
          <w:lang w:val="en-AU" w:eastAsia="ko-KR"/>
        </w:rPr>
        <w:t>an</w:t>
      </w:r>
      <w:r w:rsidRPr="00F672EB">
        <w:rPr>
          <w:rFonts w:ascii="Times New Roman" w:hAnsi="Times New Roman"/>
          <w:bCs/>
          <w:lang w:val="en-AU"/>
        </w:rPr>
        <w:t xml:space="preserve"> increase </w:t>
      </w:r>
      <w:r w:rsidRPr="00F672EB">
        <w:rPr>
          <w:rFonts w:ascii="Times New Roman" w:hAnsi="Times New Roman"/>
          <w:bCs/>
          <w:lang w:val="en-AU" w:eastAsia="ko-KR"/>
        </w:rPr>
        <w:t>in</w:t>
      </w:r>
      <w:r w:rsidRPr="00F672EB">
        <w:rPr>
          <w:rFonts w:ascii="Times New Roman" w:hAnsi="Times New Roman"/>
          <w:bCs/>
          <w:lang w:val="en-AU"/>
        </w:rPr>
        <w:t xml:space="preserve"> biomass, but the reason </w:t>
      </w:r>
      <w:r w:rsidRPr="00F672EB">
        <w:rPr>
          <w:rFonts w:ascii="Times New Roman" w:hAnsi="Times New Roman"/>
          <w:bCs/>
          <w:lang w:val="en-AU" w:eastAsia="ko-KR"/>
        </w:rPr>
        <w:t>for the</w:t>
      </w:r>
      <w:r w:rsidRPr="00F672EB">
        <w:rPr>
          <w:rFonts w:ascii="Times New Roman" w:hAnsi="Times New Roman"/>
          <w:bCs/>
          <w:lang w:val="en-AU"/>
        </w:rPr>
        <w:t xml:space="preserve"> CPUE increase is not understood.</w:t>
      </w:r>
    </w:p>
    <w:p w14:paraId="4247AA94" w14:textId="77777777" w:rsidR="007E27D6" w:rsidRPr="007E27D6" w:rsidRDefault="007E27D6" w:rsidP="007E27D6">
      <w:pPr>
        <w:autoSpaceDE w:val="0"/>
        <w:autoSpaceDN w:val="0"/>
        <w:adjustRightInd w:val="0"/>
        <w:snapToGrid w:val="0"/>
        <w:spacing w:after="0" w:line="240" w:lineRule="auto"/>
        <w:rPr>
          <w:rFonts w:ascii="Times New Roman" w:hAnsi="Times New Roman" w:cs="Times New Roman"/>
          <w:bCs/>
          <w:lang w:val="en-AU"/>
        </w:rPr>
      </w:pPr>
    </w:p>
    <w:p w14:paraId="6B82FE71" w14:textId="77777777" w:rsidR="00F672EB" w:rsidRPr="00F672EB" w:rsidRDefault="007E27D6" w:rsidP="00F672EB">
      <w:pPr>
        <w:pStyle w:val="ListParagraph"/>
        <w:numPr>
          <w:ilvl w:val="0"/>
          <w:numId w:val="12"/>
        </w:numPr>
        <w:adjustRightInd w:val="0"/>
        <w:snapToGrid w:val="0"/>
        <w:ind w:left="0" w:firstLine="0"/>
        <w:contextualSpacing w:val="0"/>
        <w:rPr>
          <w:rFonts w:ascii="Times New Roman" w:hAnsi="Times New Roman"/>
        </w:rPr>
      </w:pPr>
      <w:r w:rsidRPr="007E27D6">
        <w:rPr>
          <w:rFonts w:ascii="Times New Roman" w:hAnsi="Times New Roman"/>
          <w:b/>
        </w:rPr>
        <w:t>Management advice and implications</w:t>
      </w:r>
    </w:p>
    <w:p w14:paraId="5267D30B" w14:textId="1B683482" w:rsidR="007E27D6" w:rsidRPr="007E27D6" w:rsidRDefault="007E27D6" w:rsidP="00F672EB">
      <w:pPr>
        <w:pStyle w:val="ListParagraph"/>
        <w:adjustRightInd w:val="0"/>
        <w:snapToGrid w:val="0"/>
        <w:ind w:left="0" w:firstLine="0"/>
        <w:contextualSpacing w:val="0"/>
        <w:rPr>
          <w:rFonts w:ascii="Times New Roman" w:hAnsi="Times New Roman"/>
        </w:rPr>
      </w:pPr>
    </w:p>
    <w:p w14:paraId="741840AF" w14:textId="77777777" w:rsidR="007E27D6" w:rsidRPr="007E27D6" w:rsidRDefault="007E27D6" w:rsidP="00F672EB">
      <w:pPr>
        <w:numPr>
          <w:ilvl w:val="0"/>
          <w:numId w:val="14"/>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7E27D6">
        <w:rPr>
          <w:rFonts w:ascii="Times New Roman" w:hAnsi="Times New Roman" w:cs="Times New Roman"/>
          <w:bCs/>
          <w:lang w:val="en-AU"/>
        </w:rPr>
        <w:t>SC13 noted that although the stock status of this species is currently unknown, the bigeye thresher assessment showed that, estimating for current fishing operations (with 30-70% post-capture mortality) across a range of scenarios, some of the median F estimates exceeded two of the three indicative reference points (0.5</w:t>
      </w:r>
      <w:r w:rsidRPr="007E27D6">
        <w:rPr>
          <w:rFonts w:ascii="Times New Roman" w:hAnsi="Times New Roman" w:cs="Times New Roman"/>
          <w:bCs/>
          <w:i/>
          <w:lang w:val="en-AU"/>
        </w:rPr>
        <w:t>r</w:t>
      </w:r>
      <w:r w:rsidRPr="007E27D6">
        <w:rPr>
          <w:rFonts w:ascii="Times New Roman" w:hAnsi="Times New Roman" w:cs="Times New Roman"/>
          <w:bCs/>
          <w:lang w:val="en-AU"/>
        </w:rPr>
        <w:t xml:space="preserve"> and 0.75</w:t>
      </w:r>
      <w:r w:rsidRPr="007E27D6">
        <w:rPr>
          <w:rFonts w:ascii="Times New Roman" w:hAnsi="Times New Roman" w:cs="Times New Roman"/>
          <w:bCs/>
          <w:i/>
          <w:lang w:val="en-AU"/>
        </w:rPr>
        <w:t>r</w:t>
      </w:r>
      <w:r w:rsidRPr="007E27D6">
        <w:rPr>
          <w:rFonts w:ascii="Times New Roman" w:hAnsi="Times New Roman" w:cs="Times New Roman"/>
          <w:bCs/>
          <w:lang w:val="en-AU"/>
        </w:rPr>
        <w:t xml:space="preserve">) (Table </w:t>
      </w:r>
      <w:r w:rsidRPr="007E27D6">
        <w:rPr>
          <w:rFonts w:ascii="Times New Roman" w:hAnsi="Times New Roman" w:cs="Times New Roman"/>
          <w:bCs/>
          <w:lang w:val="en-AU" w:eastAsia="ko-KR"/>
        </w:rPr>
        <w:t>BTH</w:t>
      </w:r>
      <w:r w:rsidRPr="007E27D6">
        <w:rPr>
          <w:rFonts w:ascii="Times New Roman" w:hAnsi="Times New Roman" w:cs="Times New Roman"/>
          <w:bCs/>
          <w:lang w:val="en-AU"/>
        </w:rPr>
        <w:t>-1).  Across all 30-70% post-capture scenarios, there is a &gt;50% probability in most years that F &gt; MIST based on 0.5</w:t>
      </w:r>
      <w:r w:rsidRPr="007E27D6">
        <w:rPr>
          <w:rFonts w:ascii="Times New Roman" w:hAnsi="Times New Roman" w:cs="Times New Roman"/>
          <w:bCs/>
          <w:i/>
          <w:lang w:val="en-AU"/>
        </w:rPr>
        <w:t xml:space="preserve">r </w:t>
      </w:r>
      <w:r w:rsidRPr="007E27D6">
        <w:rPr>
          <w:rFonts w:ascii="Times New Roman" w:hAnsi="Times New Roman" w:cs="Times New Roman"/>
          <w:bCs/>
          <w:lang w:val="en-AU"/>
        </w:rPr>
        <w:t>and a &gt;20% probability in most years that F &gt; MIST based on 0.75</w:t>
      </w:r>
      <w:r w:rsidRPr="007E27D6">
        <w:rPr>
          <w:rFonts w:ascii="Times New Roman" w:hAnsi="Times New Roman" w:cs="Times New Roman"/>
          <w:bCs/>
          <w:i/>
          <w:lang w:val="en-AU"/>
        </w:rPr>
        <w:t>r</w:t>
      </w:r>
      <w:r w:rsidRPr="007E27D6">
        <w:rPr>
          <w:rFonts w:ascii="Times New Roman" w:hAnsi="Times New Roman" w:cs="Times New Roman"/>
          <w:bCs/>
          <w:lang w:val="en-AU"/>
        </w:rPr>
        <w:t xml:space="preserve">. (Table </w:t>
      </w:r>
      <w:r w:rsidRPr="007E27D6">
        <w:rPr>
          <w:rFonts w:ascii="Times New Roman" w:hAnsi="Times New Roman" w:cs="Times New Roman"/>
          <w:bCs/>
          <w:lang w:val="en-AU" w:eastAsia="ko-KR"/>
        </w:rPr>
        <w:t>BTH</w:t>
      </w:r>
      <w:r w:rsidRPr="007E27D6">
        <w:rPr>
          <w:rFonts w:ascii="Times New Roman" w:hAnsi="Times New Roman" w:cs="Times New Roman"/>
          <w:bCs/>
          <w:lang w:val="en-AU"/>
        </w:rPr>
        <w:t>-2).</w:t>
      </w:r>
    </w:p>
    <w:p w14:paraId="617664CB" w14:textId="7F1756AB" w:rsidR="007E27D6" w:rsidRDefault="007E27D6" w:rsidP="007E27D6">
      <w:pPr>
        <w:pStyle w:val="WCPFC"/>
        <w:numPr>
          <w:ilvl w:val="0"/>
          <w:numId w:val="0"/>
        </w:numPr>
        <w:adjustRightInd w:val="0"/>
        <w:spacing w:after="0"/>
        <w:rPr>
          <w:rFonts w:cs="Times New Roman"/>
          <w:b/>
        </w:rPr>
      </w:pPr>
    </w:p>
    <w:p w14:paraId="3D64E91D" w14:textId="77777777" w:rsidR="00F672EB" w:rsidRPr="007E27D6" w:rsidRDefault="00F672EB" w:rsidP="007E27D6">
      <w:pPr>
        <w:pStyle w:val="WCPFC"/>
        <w:numPr>
          <w:ilvl w:val="0"/>
          <w:numId w:val="0"/>
        </w:numPr>
        <w:adjustRightInd w:val="0"/>
        <w:spacing w:after="0"/>
        <w:rPr>
          <w:rFonts w:cs="Times New Roman"/>
          <w:b/>
        </w:rPr>
      </w:pPr>
    </w:p>
    <w:p w14:paraId="1605BD41" w14:textId="77777777" w:rsidR="007E27D6" w:rsidRPr="007E27D6" w:rsidRDefault="007E27D6" w:rsidP="007E27D6">
      <w:pPr>
        <w:pStyle w:val="WCPFC"/>
        <w:numPr>
          <w:ilvl w:val="0"/>
          <w:numId w:val="0"/>
        </w:numPr>
        <w:adjustRightInd w:val="0"/>
        <w:spacing w:after="0"/>
        <w:rPr>
          <w:rFonts w:cs="Times New Roman"/>
          <w:b/>
        </w:rPr>
      </w:pPr>
      <w:r w:rsidRPr="007E27D6">
        <w:rPr>
          <w:rFonts w:cs="Times New Roman"/>
          <w:b/>
        </w:rPr>
        <w:t xml:space="preserve">TABLE </w:t>
      </w:r>
      <w:r w:rsidRPr="007E27D6">
        <w:rPr>
          <w:rFonts w:cs="Times New Roman"/>
          <w:b/>
          <w:lang w:eastAsia="ko-KR"/>
        </w:rPr>
        <w:t>BTH</w:t>
      </w:r>
      <w:r w:rsidRPr="007E27D6">
        <w:rPr>
          <w:rFonts w:cs="Times New Roman"/>
          <w:b/>
        </w:rPr>
        <w:t xml:space="preserve">-1. </w:t>
      </w:r>
      <w:r w:rsidRPr="007E27D6">
        <w:rPr>
          <w:rFonts w:cs="Times New Roman"/>
        </w:rPr>
        <w:t>Sustainability risk (ratio of impact to MIST, at three levels of the MIST, with values &gt;1 considered to be unsustainable) (median values and 95% quantile range) for bigeye thresher in the Pacific. Estimates are for the Core Area and the Assessment Area assuming the occurrence of post-capture survival (random occurrence between 30% and 70%) in impact estimation and three initial population status assumptions (low (0.3), medium (0.5), and high (0.7)). Results are contrasted for the fifteen-year period (2000-2014) and the recent period (2011-2014). F</w:t>
      </w:r>
      <w:r w:rsidRPr="007E27D6">
        <w:rPr>
          <w:rFonts w:cs="Times New Roman"/>
          <w:i/>
          <w:iCs/>
        </w:rPr>
        <w:t>crash</w:t>
      </w:r>
      <w:r w:rsidRPr="007E27D6">
        <w:rPr>
          <w:rFonts w:cs="Times New Roman"/>
        </w:rPr>
        <w:t xml:space="preserve"> = </w:t>
      </w:r>
      <w:r w:rsidRPr="007E27D6">
        <w:rPr>
          <w:rFonts w:cs="Times New Roman"/>
          <w:i/>
          <w:iCs/>
        </w:rPr>
        <w:t>r</w:t>
      </w:r>
      <w:r w:rsidRPr="007E27D6">
        <w:rPr>
          <w:rFonts w:cs="Times New Roman"/>
        </w:rPr>
        <w:t>, F</w:t>
      </w:r>
      <w:r w:rsidRPr="007E27D6">
        <w:rPr>
          <w:rFonts w:cs="Times New Roman"/>
          <w:i/>
          <w:iCs/>
        </w:rPr>
        <w:t>lim</w:t>
      </w:r>
      <w:r w:rsidRPr="007E27D6">
        <w:rPr>
          <w:rFonts w:cs="Times New Roman"/>
        </w:rPr>
        <w:t xml:space="preserve"> = 0.75</w:t>
      </w:r>
      <w:r w:rsidRPr="007E27D6">
        <w:rPr>
          <w:rFonts w:cs="Times New Roman"/>
          <w:i/>
          <w:iCs/>
        </w:rPr>
        <w:t>r</w:t>
      </w:r>
      <w:r w:rsidRPr="007E27D6">
        <w:rPr>
          <w:rFonts w:cs="Times New Roman"/>
        </w:rPr>
        <w:t xml:space="preserve">, and </w:t>
      </w:r>
      <w:proofErr w:type="spellStart"/>
      <w:r w:rsidRPr="007E27D6">
        <w:rPr>
          <w:rFonts w:cs="Times New Roman"/>
        </w:rPr>
        <w:t>F</w:t>
      </w:r>
      <w:r w:rsidRPr="007E27D6">
        <w:rPr>
          <w:rFonts w:cs="Times New Roman"/>
          <w:i/>
          <w:iCs/>
        </w:rPr>
        <w:t>msm</w:t>
      </w:r>
      <w:proofErr w:type="spellEnd"/>
      <w:r w:rsidRPr="007E27D6">
        <w:rPr>
          <w:rFonts w:cs="Times New Roman"/>
        </w:rPr>
        <w:t xml:space="preserve"> = </w:t>
      </w:r>
      <w:r w:rsidRPr="007E27D6">
        <w:rPr>
          <w:rFonts w:cs="Times New Roman"/>
          <w:i/>
          <w:iCs/>
        </w:rPr>
        <w:t>r</w:t>
      </w:r>
      <w:r w:rsidRPr="007E27D6">
        <w:rPr>
          <w:rFonts w:cs="Times New Roman"/>
        </w:rPr>
        <w:t>/2.</w:t>
      </w:r>
    </w:p>
    <w:p w14:paraId="753A239A" w14:textId="77777777" w:rsidR="007E27D6" w:rsidRPr="007E27D6" w:rsidRDefault="007E27D6" w:rsidP="007E27D6">
      <w:pPr>
        <w:pStyle w:val="WCPFC"/>
        <w:numPr>
          <w:ilvl w:val="0"/>
          <w:numId w:val="0"/>
        </w:numPr>
        <w:adjustRightInd w:val="0"/>
        <w:spacing w:after="0"/>
        <w:ind w:left="709"/>
        <w:jc w:val="center"/>
        <w:rPr>
          <w:rFonts w:cs="Times New Roman"/>
          <w:b/>
          <w:highlight w:val="yellow"/>
          <w:lang w:eastAsia="ko-KR"/>
        </w:rPr>
      </w:pPr>
      <w:r w:rsidRPr="007E27D6">
        <w:rPr>
          <w:rFonts w:cs="Times New Roman"/>
          <w:b/>
          <w:noProof/>
          <w:lang w:val="en-US" w:eastAsia="zh-CN" w:bidi="mn-Mong-CN"/>
        </w:rPr>
        <w:drawing>
          <wp:inline distT="0" distB="0" distL="0" distR="0" wp14:anchorId="497B8BE0" wp14:editId="23B1EC9D">
            <wp:extent cx="4722750" cy="3369501"/>
            <wp:effectExtent l="0" t="0" r="1905" b="254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BTH-1.jpg"/>
                    <pic:cNvPicPr/>
                  </pic:nvPicPr>
                  <pic:blipFill>
                    <a:blip r:embed="rId12">
                      <a:extLst>
                        <a:ext uri="{28A0092B-C50C-407E-A947-70E740481C1C}">
                          <a14:useLocalDpi xmlns:a14="http://schemas.microsoft.com/office/drawing/2010/main" val="0"/>
                        </a:ext>
                      </a:extLst>
                    </a:blip>
                    <a:stretch>
                      <a:fillRect/>
                    </a:stretch>
                  </pic:blipFill>
                  <pic:spPr>
                    <a:xfrm>
                      <a:off x="0" y="0"/>
                      <a:ext cx="4730474" cy="3375012"/>
                    </a:xfrm>
                    <a:prstGeom prst="rect">
                      <a:avLst/>
                    </a:prstGeom>
                  </pic:spPr>
                </pic:pic>
              </a:graphicData>
            </a:graphic>
          </wp:inline>
        </w:drawing>
      </w:r>
    </w:p>
    <w:p w14:paraId="5274C59A" w14:textId="77777777" w:rsidR="007E27D6" w:rsidRPr="007E27D6" w:rsidRDefault="007E27D6" w:rsidP="007E27D6">
      <w:pPr>
        <w:adjustRightInd w:val="0"/>
        <w:snapToGrid w:val="0"/>
        <w:spacing w:after="0" w:line="240" w:lineRule="auto"/>
        <w:rPr>
          <w:rFonts w:ascii="Times New Roman" w:hAnsi="Times New Roman" w:cs="Times New Roman"/>
          <w:b/>
          <w:lang w:eastAsia="en-NZ"/>
        </w:rPr>
      </w:pPr>
    </w:p>
    <w:p w14:paraId="68AF7573" w14:textId="77777777" w:rsidR="007E27D6" w:rsidRPr="007E27D6" w:rsidRDefault="007E27D6" w:rsidP="007E27D6">
      <w:pPr>
        <w:adjustRightInd w:val="0"/>
        <w:snapToGrid w:val="0"/>
        <w:spacing w:after="0" w:line="240" w:lineRule="auto"/>
        <w:rPr>
          <w:rFonts w:ascii="Times New Roman" w:hAnsi="Times New Roman" w:cs="Times New Roman"/>
          <w:b/>
          <w:lang w:val="en-NZ" w:eastAsia="en-NZ"/>
        </w:rPr>
      </w:pPr>
      <w:r w:rsidRPr="007E27D6">
        <w:rPr>
          <w:rFonts w:ascii="Times New Roman" w:hAnsi="Times New Roman" w:cs="Times New Roman"/>
          <w:b/>
        </w:rPr>
        <w:br w:type="page"/>
      </w:r>
    </w:p>
    <w:p w14:paraId="64CD8C1F" w14:textId="01E5D1D4" w:rsidR="007E27D6" w:rsidRPr="007E27D6" w:rsidRDefault="007E27D6" w:rsidP="007E27D6">
      <w:pPr>
        <w:pStyle w:val="WCPFC"/>
        <w:numPr>
          <w:ilvl w:val="0"/>
          <w:numId w:val="0"/>
        </w:numPr>
        <w:adjustRightInd w:val="0"/>
        <w:spacing w:after="0"/>
        <w:rPr>
          <w:rFonts w:cs="Times New Roman"/>
        </w:rPr>
      </w:pPr>
      <w:r w:rsidRPr="007E27D6">
        <w:rPr>
          <w:rFonts w:cs="Times New Roman"/>
          <w:b/>
        </w:rPr>
        <w:lastRenderedPageBreak/>
        <w:t xml:space="preserve">TABLE </w:t>
      </w:r>
      <w:r w:rsidRPr="007E27D6">
        <w:rPr>
          <w:rFonts w:cs="Times New Roman"/>
          <w:b/>
          <w:lang w:eastAsia="ko-KR"/>
        </w:rPr>
        <w:t>BTH</w:t>
      </w:r>
      <w:r w:rsidRPr="007E27D6">
        <w:rPr>
          <w:rFonts w:cs="Times New Roman"/>
          <w:b/>
        </w:rPr>
        <w:t xml:space="preserve">-2. </w:t>
      </w:r>
      <w:r w:rsidRPr="007E27D6">
        <w:rPr>
          <w:rFonts w:cs="Times New Roman"/>
        </w:rPr>
        <w:t>Sustainability risk probabilities (</w:t>
      </w:r>
      <w:proofErr w:type="spellStart"/>
      <w:r w:rsidRPr="007E27D6">
        <w:rPr>
          <w:rFonts w:cs="Times New Roman"/>
        </w:rPr>
        <w:t>Pr</w:t>
      </w:r>
      <w:proofErr w:type="spellEnd"/>
      <w:r w:rsidRPr="007E27D6">
        <w:rPr>
          <w:rFonts w:cs="Times New Roman"/>
        </w:rPr>
        <w:t>(Impact &gt; MIST), for 3 levels of MIST: F</w:t>
      </w:r>
      <w:r w:rsidRPr="007E27D6">
        <w:rPr>
          <w:rFonts w:cs="Times New Roman"/>
          <w:i/>
          <w:iCs/>
        </w:rPr>
        <w:t>crash</w:t>
      </w:r>
      <w:r w:rsidRPr="007E27D6">
        <w:rPr>
          <w:rFonts w:cs="Times New Roman"/>
        </w:rPr>
        <w:t>, F</w:t>
      </w:r>
      <w:r w:rsidRPr="007E27D6">
        <w:rPr>
          <w:rFonts w:cs="Times New Roman"/>
          <w:i/>
          <w:iCs/>
        </w:rPr>
        <w:t>lim</w:t>
      </w:r>
      <w:r w:rsidRPr="007E27D6">
        <w:rPr>
          <w:rFonts w:cs="Times New Roman"/>
        </w:rPr>
        <w:t xml:space="preserve">, and </w:t>
      </w:r>
      <w:proofErr w:type="spellStart"/>
      <w:r w:rsidRPr="007E27D6">
        <w:rPr>
          <w:rFonts w:cs="Times New Roman"/>
        </w:rPr>
        <w:t>F</w:t>
      </w:r>
      <w:r w:rsidRPr="007E27D6">
        <w:rPr>
          <w:rFonts w:cs="Times New Roman"/>
          <w:i/>
          <w:iCs/>
        </w:rPr>
        <w:t>msm</w:t>
      </w:r>
      <w:proofErr w:type="spellEnd"/>
      <w:r w:rsidRPr="007E27D6">
        <w:rPr>
          <w:rFonts w:cs="Times New Roman"/>
        </w:rPr>
        <w:t>) for bigeye thresher in the Pacific, 2000-2014, assuming 100% capture mortality (left) and the occurrence of post-capture survival (right) over the Core Area and the Assessment Area (combined values across three initial population status assumptions). F</w:t>
      </w:r>
      <w:r w:rsidRPr="007E27D6">
        <w:rPr>
          <w:rFonts w:cs="Times New Roman"/>
          <w:i/>
          <w:iCs/>
        </w:rPr>
        <w:t>crash</w:t>
      </w:r>
      <w:r w:rsidRPr="007E27D6">
        <w:rPr>
          <w:rFonts w:cs="Times New Roman"/>
        </w:rPr>
        <w:t xml:space="preserve"> = </w:t>
      </w:r>
      <w:r w:rsidRPr="007E27D6">
        <w:rPr>
          <w:rFonts w:cs="Times New Roman"/>
          <w:i/>
          <w:iCs/>
        </w:rPr>
        <w:t>r</w:t>
      </w:r>
      <w:r w:rsidRPr="007E27D6">
        <w:rPr>
          <w:rFonts w:cs="Times New Roman"/>
        </w:rPr>
        <w:t>, F</w:t>
      </w:r>
      <w:r w:rsidRPr="007E27D6">
        <w:rPr>
          <w:rFonts w:cs="Times New Roman"/>
          <w:i/>
          <w:iCs/>
        </w:rPr>
        <w:t>lim</w:t>
      </w:r>
      <w:r w:rsidRPr="007E27D6">
        <w:rPr>
          <w:rFonts w:cs="Times New Roman"/>
        </w:rPr>
        <w:t xml:space="preserve"> = 0.75</w:t>
      </w:r>
      <w:r w:rsidRPr="007E27D6">
        <w:rPr>
          <w:rFonts w:cs="Times New Roman"/>
          <w:i/>
          <w:iCs/>
        </w:rPr>
        <w:t>r</w:t>
      </w:r>
      <w:r w:rsidRPr="007E27D6">
        <w:rPr>
          <w:rFonts w:cs="Times New Roman"/>
        </w:rPr>
        <w:t xml:space="preserve">, and </w:t>
      </w:r>
      <w:proofErr w:type="spellStart"/>
      <w:r w:rsidRPr="007E27D6">
        <w:rPr>
          <w:rFonts w:cs="Times New Roman"/>
        </w:rPr>
        <w:t>F</w:t>
      </w:r>
      <w:r w:rsidRPr="007E27D6">
        <w:rPr>
          <w:rFonts w:cs="Times New Roman"/>
          <w:i/>
          <w:iCs/>
        </w:rPr>
        <w:t>msm</w:t>
      </w:r>
      <w:proofErr w:type="spellEnd"/>
      <w:r w:rsidRPr="007E27D6">
        <w:rPr>
          <w:rFonts w:cs="Times New Roman"/>
        </w:rPr>
        <w:t xml:space="preserve"> = </w:t>
      </w:r>
      <w:r w:rsidRPr="007E27D6">
        <w:rPr>
          <w:rFonts w:cs="Times New Roman"/>
          <w:i/>
          <w:iCs/>
        </w:rPr>
        <w:t>r</w:t>
      </w:r>
      <w:r w:rsidRPr="007E27D6">
        <w:rPr>
          <w:rFonts w:cs="Times New Roman"/>
        </w:rPr>
        <w:t>/2.</w:t>
      </w:r>
    </w:p>
    <w:p w14:paraId="3C855FAC" w14:textId="77777777" w:rsidR="007E27D6" w:rsidRPr="007E27D6" w:rsidRDefault="007E27D6" w:rsidP="007E27D6">
      <w:pPr>
        <w:pStyle w:val="WCPFC"/>
        <w:numPr>
          <w:ilvl w:val="0"/>
          <w:numId w:val="0"/>
        </w:numPr>
        <w:adjustRightInd w:val="0"/>
        <w:spacing w:after="0"/>
        <w:ind w:left="709"/>
        <w:jc w:val="center"/>
        <w:rPr>
          <w:rFonts w:cs="Times New Roman"/>
          <w:b/>
          <w:highlight w:val="yellow"/>
          <w:lang w:eastAsia="ko-KR"/>
        </w:rPr>
      </w:pPr>
      <w:r w:rsidRPr="007E27D6">
        <w:rPr>
          <w:rFonts w:cs="Times New Roman"/>
          <w:b/>
          <w:noProof/>
          <w:lang w:val="en-US" w:eastAsia="zh-CN" w:bidi="mn-Mong-CN"/>
        </w:rPr>
        <w:drawing>
          <wp:inline distT="0" distB="0" distL="0" distR="0" wp14:anchorId="7BCF0D83" wp14:editId="5146498F">
            <wp:extent cx="5010411" cy="2930234"/>
            <wp:effectExtent l="0" t="0" r="0" b="381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BTH-2.jpg"/>
                    <pic:cNvPicPr/>
                  </pic:nvPicPr>
                  <pic:blipFill>
                    <a:blip r:embed="rId13">
                      <a:extLst>
                        <a:ext uri="{28A0092B-C50C-407E-A947-70E740481C1C}">
                          <a14:useLocalDpi xmlns:a14="http://schemas.microsoft.com/office/drawing/2010/main" val="0"/>
                        </a:ext>
                      </a:extLst>
                    </a:blip>
                    <a:stretch>
                      <a:fillRect/>
                    </a:stretch>
                  </pic:blipFill>
                  <pic:spPr>
                    <a:xfrm>
                      <a:off x="0" y="0"/>
                      <a:ext cx="5027998" cy="2940519"/>
                    </a:xfrm>
                    <a:prstGeom prst="rect">
                      <a:avLst/>
                    </a:prstGeom>
                  </pic:spPr>
                </pic:pic>
              </a:graphicData>
            </a:graphic>
          </wp:inline>
        </w:drawing>
      </w:r>
    </w:p>
    <w:p w14:paraId="63B41E3A" w14:textId="77777777" w:rsidR="007E27D6" w:rsidRPr="007E27D6" w:rsidRDefault="007E27D6" w:rsidP="007E27D6">
      <w:pPr>
        <w:pStyle w:val="WCPFC"/>
        <w:numPr>
          <w:ilvl w:val="0"/>
          <w:numId w:val="0"/>
        </w:numPr>
        <w:adjustRightInd w:val="0"/>
        <w:spacing w:after="0"/>
        <w:ind w:left="720"/>
        <w:rPr>
          <w:rFonts w:cs="Times New Roman"/>
          <w:b/>
        </w:rPr>
      </w:pPr>
    </w:p>
    <w:p w14:paraId="0FF8819F" w14:textId="66D024C1" w:rsidR="007E27D6" w:rsidRPr="00F672EB" w:rsidRDefault="007E27D6" w:rsidP="00F672EB">
      <w:pPr>
        <w:pStyle w:val="ListParagraph"/>
        <w:numPr>
          <w:ilvl w:val="0"/>
          <w:numId w:val="14"/>
        </w:numPr>
        <w:autoSpaceDE w:val="0"/>
        <w:autoSpaceDN w:val="0"/>
        <w:adjustRightInd w:val="0"/>
        <w:snapToGrid w:val="0"/>
        <w:ind w:left="0" w:firstLine="0"/>
        <w:rPr>
          <w:rFonts w:ascii="Times New Roman" w:hAnsi="Times New Roman"/>
          <w:bCs/>
          <w:lang w:val="en-AU"/>
        </w:rPr>
      </w:pPr>
      <w:r w:rsidRPr="00F672EB">
        <w:rPr>
          <w:rFonts w:ascii="Times New Roman" w:hAnsi="Times New Roman"/>
          <w:bCs/>
          <w:lang w:val="en-AU"/>
        </w:rPr>
        <w:t xml:space="preserve">SC13 noted that the modelled scenario of 30-70% post-capture survival reduced F estimates by approximately one third and reduced the risk that the MIST based on </w:t>
      </w:r>
      <w:r w:rsidRPr="00F672EB">
        <w:rPr>
          <w:rFonts w:ascii="Times New Roman" w:hAnsi="Times New Roman"/>
          <w:bCs/>
          <w:i/>
          <w:lang w:val="en-AU"/>
        </w:rPr>
        <w:t>r</w:t>
      </w:r>
      <w:r w:rsidRPr="00F672EB">
        <w:rPr>
          <w:rFonts w:ascii="Times New Roman" w:hAnsi="Times New Roman"/>
          <w:bCs/>
          <w:lang w:val="en-AU"/>
        </w:rPr>
        <w:t xml:space="preserve"> will be exceeded by 50%</w:t>
      </w:r>
      <w:r w:rsidRPr="00F672EB">
        <w:rPr>
          <w:rFonts w:ascii="Times New Roman" w:hAnsi="Times New Roman"/>
          <w:bCs/>
          <w:lang w:val="en-AU" w:eastAsia="ko-KR"/>
        </w:rPr>
        <w:t xml:space="preserve"> </w:t>
      </w:r>
      <w:r w:rsidRPr="00F672EB">
        <w:rPr>
          <w:rFonts w:ascii="Times New Roman" w:hAnsi="Times New Roman"/>
          <w:bCs/>
          <w:lang w:val="en-AU"/>
        </w:rPr>
        <w:t xml:space="preserve">compared to the scenario assuming no post-catch survival.  A “no-retention” measure was not modelled but would be expected to reduce F even further.  </w:t>
      </w:r>
    </w:p>
    <w:p w14:paraId="4B916F7A" w14:textId="77777777" w:rsidR="007E27D6" w:rsidRPr="007E27D6" w:rsidRDefault="007E27D6" w:rsidP="007E27D6">
      <w:pPr>
        <w:autoSpaceDE w:val="0"/>
        <w:autoSpaceDN w:val="0"/>
        <w:adjustRightInd w:val="0"/>
        <w:snapToGrid w:val="0"/>
        <w:spacing w:after="0" w:line="240" w:lineRule="auto"/>
        <w:rPr>
          <w:rFonts w:ascii="Times New Roman" w:hAnsi="Times New Roman" w:cs="Times New Roman"/>
          <w:bCs/>
          <w:lang w:val="en-AU"/>
        </w:rPr>
      </w:pPr>
    </w:p>
    <w:p w14:paraId="256E766F" w14:textId="77777777" w:rsidR="007E27D6" w:rsidRPr="007E27D6" w:rsidRDefault="007E27D6" w:rsidP="00F672EB">
      <w:pPr>
        <w:numPr>
          <w:ilvl w:val="0"/>
          <w:numId w:val="14"/>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7E27D6">
        <w:rPr>
          <w:rFonts w:ascii="Times New Roman" w:hAnsi="Times New Roman" w:cs="Times New Roman"/>
          <w:bCs/>
          <w:lang w:val="en-AU"/>
        </w:rPr>
        <w:t xml:space="preserve">SC13 noted that the area of highest estimated fishing mortality overlapped with the region of higher relative abundance for the species, corresponding to a narrow band between approximately 10-15°N and 150°E-140°W.  Fishing operations targeting bigeye tuna and operating during the April-June period had the highest mortality over the recent period (2011-2014). </w:t>
      </w:r>
    </w:p>
    <w:p w14:paraId="19C2555F" w14:textId="77777777" w:rsidR="007E27D6" w:rsidRPr="007E27D6" w:rsidRDefault="007E27D6" w:rsidP="007E27D6">
      <w:pPr>
        <w:pStyle w:val="ListParagraph"/>
        <w:adjustRightInd w:val="0"/>
        <w:snapToGrid w:val="0"/>
        <w:contextualSpacing w:val="0"/>
        <w:rPr>
          <w:rFonts w:ascii="Times New Roman" w:hAnsi="Times New Roman"/>
          <w:bCs/>
          <w:lang w:val="en-AU"/>
        </w:rPr>
      </w:pPr>
    </w:p>
    <w:p w14:paraId="4F51D735" w14:textId="77777777" w:rsidR="007E27D6" w:rsidRPr="007E27D6" w:rsidRDefault="007E27D6" w:rsidP="00F672EB">
      <w:pPr>
        <w:numPr>
          <w:ilvl w:val="0"/>
          <w:numId w:val="14"/>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7E27D6">
        <w:rPr>
          <w:rFonts w:ascii="Times New Roman" w:hAnsi="Times New Roman" w:cs="Times New Roman"/>
          <w:bCs/>
          <w:lang w:val="en-AU"/>
        </w:rPr>
        <w:t xml:space="preserve">SC13 noted that the Commission needs to further consider appropriate limit reference points and risk tolerances for exceeding LRPs for sharks.  </w:t>
      </w:r>
    </w:p>
    <w:p w14:paraId="11B9E0DA" w14:textId="77777777" w:rsidR="007E27D6" w:rsidRPr="007E27D6" w:rsidRDefault="007E27D6" w:rsidP="007E27D6">
      <w:pPr>
        <w:pStyle w:val="ListParagraph"/>
        <w:adjustRightInd w:val="0"/>
        <w:snapToGrid w:val="0"/>
        <w:contextualSpacing w:val="0"/>
        <w:rPr>
          <w:rFonts w:ascii="Times New Roman" w:hAnsi="Times New Roman"/>
          <w:bCs/>
          <w:lang w:val="en-AU"/>
        </w:rPr>
      </w:pPr>
    </w:p>
    <w:p w14:paraId="22F3C172" w14:textId="77777777" w:rsidR="007E27D6" w:rsidRPr="007E27D6" w:rsidRDefault="007E27D6" w:rsidP="00F672EB">
      <w:pPr>
        <w:numPr>
          <w:ilvl w:val="0"/>
          <w:numId w:val="14"/>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7E27D6">
        <w:rPr>
          <w:rFonts w:ascii="Times New Roman" w:hAnsi="Times New Roman" w:cs="Times New Roman"/>
          <w:bCs/>
          <w:lang w:val="en-AU"/>
        </w:rPr>
        <w:t xml:space="preserve">SC13 recommends that WCPFC14 take the results of this assessment into consideration when framing a management measure for bigeye thresher sharks in the WCPO. </w:t>
      </w:r>
    </w:p>
    <w:p w14:paraId="7C50F95E" w14:textId="77777777" w:rsidR="007E27D6" w:rsidRPr="007E27D6" w:rsidRDefault="007E27D6" w:rsidP="007E27D6">
      <w:pPr>
        <w:autoSpaceDE w:val="0"/>
        <w:autoSpaceDN w:val="0"/>
        <w:adjustRightInd w:val="0"/>
        <w:snapToGrid w:val="0"/>
        <w:spacing w:after="0" w:line="240" w:lineRule="auto"/>
        <w:rPr>
          <w:rFonts w:ascii="Times New Roman" w:eastAsia="Times New Roman" w:hAnsi="Times New Roman" w:cs="Times New Roman"/>
          <w:bCs/>
          <w:lang w:eastAsia="ko-KR"/>
        </w:rPr>
      </w:pPr>
    </w:p>
    <w:p w14:paraId="04A40B97" w14:textId="77777777" w:rsidR="007A432D" w:rsidRPr="007E27D6" w:rsidRDefault="007A432D" w:rsidP="007E27D6">
      <w:pPr>
        <w:adjustRightInd w:val="0"/>
        <w:snapToGrid w:val="0"/>
        <w:spacing w:after="0" w:line="240" w:lineRule="auto"/>
        <w:rPr>
          <w:rFonts w:ascii="Times New Roman" w:hAnsi="Times New Roman" w:cs="Times New Roman"/>
          <w:bCs/>
        </w:rPr>
      </w:pPr>
    </w:p>
    <w:p w14:paraId="1EF6ECC4" w14:textId="77777777" w:rsidR="007E27D6" w:rsidRPr="007E27D6" w:rsidRDefault="007E27D6" w:rsidP="007E27D6">
      <w:pPr>
        <w:adjustRightInd w:val="0"/>
        <w:snapToGrid w:val="0"/>
        <w:spacing w:after="0" w:line="240" w:lineRule="auto"/>
        <w:rPr>
          <w:rFonts w:ascii="Times New Roman" w:eastAsia="MS Mincho" w:hAnsi="Times New Roman" w:cs="Times New Roman"/>
          <w:bCs/>
          <w:color w:val="2F5496" w:themeColor="accent1" w:themeShade="BF"/>
          <w:sz w:val="32"/>
          <w:szCs w:val="32"/>
          <w:lang w:val="en-NZ" w:eastAsia="en-NZ"/>
        </w:rPr>
      </w:pPr>
      <w:bookmarkStart w:id="4" w:name="_Toc495323856"/>
      <w:r w:rsidRPr="007E27D6">
        <w:rPr>
          <w:rFonts w:ascii="Times New Roman" w:eastAsia="MS Mincho" w:hAnsi="Times New Roman" w:cs="Times New Roman"/>
          <w:bCs/>
          <w:lang w:val="en-NZ" w:eastAsia="en-NZ"/>
        </w:rPr>
        <w:br w:type="page"/>
      </w:r>
    </w:p>
    <w:p w14:paraId="245D404D" w14:textId="23A0B4D0" w:rsidR="005C7178" w:rsidRPr="00F672EB" w:rsidRDefault="00F672EB" w:rsidP="007E27D6">
      <w:pPr>
        <w:pStyle w:val="Heading1"/>
        <w:adjustRightInd w:val="0"/>
        <w:snapToGrid w:val="0"/>
        <w:spacing w:before="0" w:line="240" w:lineRule="auto"/>
        <w:rPr>
          <w:rFonts w:ascii="Times New Roman" w:eastAsia="MS Mincho" w:hAnsi="Times New Roman" w:cs="Times New Roman"/>
          <w:sz w:val="28"/>
          <w:szCs w:val="28"/>
          <w:lang w:val="en-NZ" w:eastAsia="en-NZ"/>
        </w:rPr>
      </w:pPr>
      <w:bookmarkStart w:id="5" w:name="_Toc25068159"/>
      <w:r w:rsidRPr="00F672EB">
        <w:rPr>
          <w:rFonts w:ascii="Times New Roman" w:eastAsia="MS Mincho" w:hAnsi="Times New Roman" w:cs="Times New Roman"/>
          <w:sz w:val="28"/>
          <w:szCs w:val="28"/>
          <w:lang w:val="en-NZ" w:eastAsia="en-NZ"/>
        </w:rPr>
        <w:lastRenderedPageBreak/>
        <w:t>USEFUL REFERENCES</w:t>
      </w:r>
      <w:bookmarkEnd w:id="4"/>
      <w:bookmarkEnd w:id="5"/>
    </w:p>
    <w:p w14:paraId="28789667" w14:textId="77777777" w:rsidR="005C7178" w:rsidRPr="007E27D6" w:rsidRDefault="005C7178" w:rsidP="007E27D6">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352EAB62" w14:textId="77777777" w:rsidR="005C7178" w:rsidRPr="007E27D6" w:rsidRDefault="00F07BA6" w:rsidP="007E27D6">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7E27D6">
        <w:rPr>
          <w:rFonts w:ascii="Times New Roman" w:eastAsia="MS Mincho" w:hAnsi="Times New Roman" w:cs="Times New Roman"/>
          <w:color w:val="000000"/>
          <w:lang w:val="en-NZ" w:eastAsia="en-NZ"/>
        </w:rPr>
        <w:t>WCPFC-SC1</w:t>
      </w:r>
      <w:r w:rsidR="00706812" w:rsidRPr="007E27D6">
        <w:rPr>
          <w:rFonts w:ascii="Times New Roman" w:eastAsia="MS Mincho" w:hAnsi="Times New Roman" w:cs="Times New Roman"/>
          <w:color w:val="000000"/>
          <w:lang w:val="en-NZ" w:eastAsia="en-NZ"/>
        </w:rPr>
        <w:t>3-SA-WP-11</w:t>
      </w:r>
      <w:r w:rsidRPr="007E27D6">
        <w:rPr>
          <w:rFonts w:ascii="Times New Roman" w:eastAsia="MS Mincho" w:hAnsi="Times New Roman" w:cs="Times New Roman"/>
          <w:color w:val="000000"/>
          <w:lang w:val="en-NZ" w:eastAsia="en-NZ"/>
        </w:rPr>
        <w:t xml:space="preserve"> </w:t>
      </w:r>
      <w:r w:rsidR="00706812" w:rsidRPr="007E27D6">
        <w:rPr>
          <w:rFonts w:ascii="Times New Roman" w:eastAsia="MS Mincho" w:hAnsi="Times New Roman" w:cs="Times New Roman"/>
          <w:color w:val="000000"/>
          <w:lang w:val="en-NZ" w:eastAsia="en-NZ"/>
        </w:rPr>
        <w:t>Pacific-wide sustainability risk assessment of bigeye thresher shark (Alopias superciliosus) Rev 2 (12 August 2017)</w:t>
      </w:r>
      <w:r w:rsidRPr="007E27D6">
        <w:rPr>
          <w:rFonts w:ascii="Times New Roman" w:eastAsia="MS Mincho" w:hAnsi="Times New Roman" w:cs="Times New Roman"/>
          <w:color w:val="000000"/>
          <w:lang w:val="en-NZ" w:eastAsia="en-NZ"/>
        </w:rPr>
        <w:t xml:space="preserve">. </w:t>
      </w:r>
      <w:hyperlink r:id="rId14" w:history="1">
        <w:r w:rsidR="00706812" w:rsidRPr="007E27D6">
          <w:rPr>
            <w:rStyle w:val="Hyperlink"/>
            <w:rFonts w:ascii="Times New Roman" w:eastAsia="MS Mincho" w:hAnsi="Times New Roman" w:cs="Times New Roman"/>
            <w:lang w:val="en-NZ" w:eastAsia="en-NZ"/>
          </w:rPr>
          <w:t>https://www.wcpfc.int/node/29524</w:t>
        </w:r>
      </w:hyperlink>
      <w:r w:rsidR="00706812" w:rsidRPr="007E27D6">
        <w:rPr>
          <w:rFonts w:ascii="Times New Roman" w:eastAsia="MS Mincho" w:hAnsi="Times New Roman" w:cs="Times New Roman"/>
          <w:color w:val="000000"/>
          <w:lang w:val="en-NZ" w:eastAsia="en-NZ"/>
        </w:rPr>
        <w:t xml:space="preserve"> </w:t>
      </w:r>
    </w:p>
    <w:p w14:paraId="5A71B0C2" w14:textId="77777777" w:rsidR="00BF5825" w:rsidRPr="007E27D6" w:rsidRDefault="00BF5825" w:rsidP="007E27D6">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5696DA5E" w14:textId="77777777" w:rsidR="00F07BA6" w:rsidRPr="007E27D6" w:rsidRDefault="00F07BA6" w:rsidP="007E27D6">
      <w:pPr>
        <w:pStyle w:val="Heading1"/>
        <w:adjustRightInd w:val="0"/>
        <w:snapToGrid w:val="0"/>
        <w:spacing w:before="0" w:line="240" w:lineRule="auto"/>
        <w:rPr>
          <w:rFonts w:ascii="Times New Roman" w:eastAsia="MS Mincho" w:hAnsi="Times New Roman" w:cs="Times New Roman"/>
          <w:lang w:val="en-NZ" w:eastAsia="en-NZ"/>
        </w:rPr>
      </w:pPr>
    </w:p>
    <w:p w14:paraId="74442475" w14:textId="77777777" w:rsidR="00F07BA6" w:rsidRPr="007E27D6" w:rsidRDefault="00F07BA6" w:rsidP="007E27D6">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bookmarkStart w:id="6" w:name="_GoBack"/>
      <w:bookmarkEnd w:id="6"/>
    </w:p>
    <w:sectPr w:rsidR="00F07BA6" w:rsidRPr="007E27D6" w:rsidSect="00400113">
      <w:footerReference w:type="default" r:id="rId15"/>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340ED" w14:textId="77777777" w:rsidR="00EF647B" w:rsidRDefault="00EF647B" w:rsidP="005C2B8D">
      <w:pPr>
        <w:spacing w:after="0" w:line="240" w:lineRule="auto"/>
      </w:pPr>
      <w:r>
        <w:separator/>
      </w:r>
    </w:p>
  </w:endnote>
  <w:endnote w:type="continuationSeparator" w:id="0">
    <w:p w14:paraId="79803119" w14:textId="77777777" w:rsidR="00EF647B" w:rsidRDefault="00EF647B"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53592"/>
      <w:docPartObj>
        <w:docPartGallery w:val="Page Numbers (Bottom of Page)"/>
        <w:docPartUnique/>
      </w:docPartObj>
    </w:sdtPr>
    <w:sdtEndPr>
      <w:rPr>
        <w:noProof/>
      </w:rPr>
    </w:sdtEndPr>
    <w:sdtContent>
      <w:p w14:paraId="46B6A534" w14:textId="77777777" w:rsidR="00550074" w:rsidRDefault="00550074">
        <w:pPr>
          <w:pStyle w:val="Footer"/>
          <w:jc w:val="center"/>
        </w:pPr>
        <w:r>
          <w:fldChar w:fldCharType="begin"/>
        </w:r>
        <w:r>
          <w:instrText xml:space="preserve"> PAGE   \* MERGEFORMAT </w:instrText>
        </w:r>
        <w:r>
          <w:fldChar w:fldCharType="separate"/>
        </w:r>
        <w:r w:rsidR="005D288E">
          <w:rPr>
            <w:noProof/>
          </w:rPr>
          <w:t>1</w:t>
        </w:r>
        <w:r>
          <w:rPr>
            <w:noProof/>
          </w:rPr>
          <w:fldChar w:fldCharType="end"/>
        </w:r>
      </w:p>
    </w:sdtContent>
  </w:sdt>
  <w:p w14:paraId="67EC92CE"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4BEE6" w14:textId="77777777" w:rsidR="00EF647B" w:rsidRDefault="00EF647B" w:rsidP="005C2B8D">
      <w:pPr>
        <w:spacing w:after="0" w:line="240" w:lineRule="auto"/>
      </w:pPr>
      <w:r>
        <w:separator/>
      </w:r>
    </w:p>
  </w:footnote>
  <w:footnote w:type="continuationSeparator" w:id="0">
    <w:p w14:paraId="3B1E85E2" w14:textId="77777777" w:rsidR="00EF647B" w:rsidRDefault="00EF647B"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76F2"/>
    <w:multiLevelType w:val="multilevel"/>
    <w:tmpl w:val="D2F6D5F4"/>
    <w:lvl w:ilvl="0">
      <w:start w:val="1"/>
      <w:numFmt w:val="decimal"/>
      <w:lvlText w:val="%1."/>
      <w:lvlJc w:val="left"/>
      <w:pPr>
        <w:ind w:left="360" w:hanging="360"/>
      </w:pPr>
      <w:rPr>
        <w:rFonts w:hint="default"/>
      </w:rPr>
    </w:lvl>
    <w:lvl w:ilvl="1">
      <w:start w:val="1"/>
      <w:numFmt w:val="decimal"/>
      <w:pStyle w:val="SC2"/>
      <w:lvlText w:val="%1.%2."/>
      <w:lvlJc w:val="left"/>
      <w:pPr>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3"/>
      <w:lvlText w:val="%1.%2.%3."/>
      <w:lvlJc w:val="left"/>
      <w:pPr>
        <w:ind w:left="108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FC7499"/>
    <w:multiLevelType w:val="hybridMultilevel"/>
    <w:tmpl w:val="7940E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9250E"/>
    <w:multiLevelType w:val="hybridMultilevel"/>
    <w:tmpl w:val="D26C08AA"/>
    <w:lvl w:ilvl="0" w:tplc="EA043656">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8537D87"/>
    <w:multiLevelType w:val="hybridMultilevel"/>
    <w:tmpl w:val="1DF45ED2"/>
    <w:lvl w:ilvl="0" w:tplc="1DB035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D58C0"/>
    <w:multiLevelType w:val="hybridMultilevel"/>
    <w:tmpl w:val="4C52674A"/>
    <w:lvl w:ilvl="0" w:tplc="9CEC773A">
      <w:start w:val="396"/>
      <w:numFmt w:val="decimal"/>
      <w:pStyle w:val="Best2"/>
      <w:lvlText w:val="%1."/>
      <w:lvlJc w:val="left"/>
      <w:pPr>
        <w:ind w:left="36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5" w15:restartNumberingAfterBreak="0">
    <w:nsid w:val="4586573C"/>
    <w:multiLevelType w:val="hybridMultilevel"/>
    <w:tmpl w:val="89725FB0"/>
    <w:lvl w:ilvl="0" w:tplc="A866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25C31"/>
    <w:multiLevelType w:val="hybridMultilevel"/>
    <w:tmpl w:val="1DF45ED2"/>
    <w:lvl w:ilvl="0" w:tplc="1DB035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70E35"/>
    <w:multiLevelType w:val="hybridMultilevel"/>
    <w:tmpl w:val="824E6798"/>
    <w:lvl w:ilvl="0" w:tplc="04090001">
      <w:start w:val="1"/>
      <w:numFmt w:val="bullet"/>
      <w:lvlText w:val=""/>
      <w:lvlJc w:val="left"/>
      <w:pPr>
        <w:ind w:left="1134" w:hanging="567"/>
      </w:pPr>
      <w:rPr>
        <w:rFonts w:ascii="Symbol" w:hAnsi="Symbol" w:hint="default"/>
        <w:b w:val="0"/>
        <w:i w:val="0"/>
        <w:color w:val="auto"/>
        <w:sz w:val="22"/>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3B0A73B2">
      <w:start w:val="1"/>
      <w:numFmt w:val="upperLetter"/>
      <w:lvlText w:val="%4."/>
      <w:lvlJc w:val="left"/>
      <w:pPr>
        <w:ind w:left="3447" w:hanging="360"/>
      </w:p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8" w15:restartNumberingAfterBreak="0">
    <w:nsid w:val="5A7C0D20"/>
    <w:multiLevelType w:val="hybridMultilevel"/>
    <w:tmpl w:val="2A7C20A8"/>
    <w:lvl w:ilvl="0" w:tplc="ECBA5F2A">
      <w:start w:val="228"/>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 w15:restartNumberingAfterBreak="0">
    <w:nsid w:val="61873690"/>
    <w:multiLevelType w:val="multilevel"/>
    <w:tmpl w:val="E4681FD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0" w15:restartNumberingAfterBreak="0">
    <w:nsid w:val="6367214A"/>
    <w:multiLevelType w:val="hybridMultilevel"/>
    <w:tmpl w:val="21BA59B6"/>
    <w:lvl w:ilvl="0" w:tplc="FDBCAC22">
      <w:start w:val="1"/>
      <w:numFmt w:val="lowerLetter"/>
      <w:pStyle w:val="SC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DC60753"/>
    <w:multiLevelType w:val="hybridMultilevel"/>
    <w:tmpl w:val="5162AD5C"/>
    <w:lvl w:ilvl="0" w:tplc="0C090001">
      <w:start w:val="1"/>
      <w:numFmt w:val="bullet"/>
      <w:lvlText w:val=""/>
      <w:lvlJc w:val="left"/>
      <w:pPr>
        <w:ind w:left="1665" w:hanging="360"/>
      </w:pPr>
      <w:rPr>
        <w:rFonts w:ascii="Symbol" w:hAnsi="Symbol"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7"/>
  </w:num>
  <w:num w:numId="6">
    <w:abstractNumId w:val="10"/>
  </w:num>
  <w:num w:numId="7">
    <w:abstractNumId w:val="1"/>
  </w:num>
  <w:num w:numId="8">
    <w:abstractNumId w:val="0"/>
  </w:num>
  <w:num w:numId="9">
    <w:abstractNumId w:val="9"/>
  </w:num>
  <w:num w:numId="10">
    <w:abstractNumId w:val="2"/>
    <w:lvlOverride w:ilvl="0"/>
  </w:num>
  <w:num w:numId="11">
    <w:abstractNumId w:val="11"/>
  </w:num>
  <w:num w:numId="12">
    <w:abstractNumId w:val="3"/>
  </w:num>
  <w:num w:numId="13">
    <w:abstractNumId w:val="2"/>
    <w:lvlOverride w:ilvl="0">
      <w:startOverride w:val="1"/>
    </w:lvlOverride>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13F4E"/>
    <w:rsid w:val="0008530D"/>
    <w:rsid w:val="000B2D74"/>
    <w:rsid w:val="000E24F7"/>
    <w:rsid w:val="00134D7E"/>
    <w:rsid w:val="0014362A"/>
    <w:rsid w:val="0015000E"/>
    <w:rsid w:val="001B44D1"/>
    <w:rsid w:val="001B724A"/>
    <w:rsid w:val="00295F2F"/>
    <w:rsid w:val="002D086C"/>
    <w:rsid w:val="003060E3"/>
    <w:rsid w:val="00306789"/>
    <w:rsid w:val="00376677"/>
    <w:rsid w:val="0038238E"/>
    <w:rsid w:val="003C4931"/>
    <w:rsid w:val="003F50D6"/>
    <w:rsid w:val="00400113"/>
    <w:rsid w:val="00416473"/>
    <w:rsid w:val="004B05DF"/>
    <w:rsid w:val="004C0F6A"/>
    <w:rsid w:val="004C1EE5"/>
    <w:rsid w:val="004C4F3D"/>
    <w:rsid w:val="004D1F0E"/>
    <w:rsid w:val="004F5329"/>
    <w:rsid w:val="004F5506"/>
    <w:rsid w:val="005374AB"/>
    <w:rsid w:val="00550074"/>
    <w:rsid w:val="005A5AA1"/>
    <w:rsid w:val="005A7989"/>
    <w:rsid w:val="005B1A1E"/>
    <w:rsid w:val="005C2B8D"/>
    <w:rsid w:val="005C7178"/>
    <w:rsid w:val="005D288E"/>
    <w:rsid w:val="005D7BB0"/>
    <w:rsid w:val="00601C1F"/>
    <w:rsid w:val="006027BC"/>
    <w:rsid w:val="00605230"/>
    <w:rsid w:val="00630C69"/>
    <w:rsid w:val="00643A67"/>
    <w:rsid w:val="006515DB"/>
    <w:rsid w:val="006A51C4"/>
    <w:rsid w:val="006D1BC2"/>
    <w:rsid w:val="00705D60"/>
    <w:rsid w:val="00706812"/>
    <w:rsid w:val="00713FF9"/>
    <w:rsid w:val="00716A3F"/>
    <w:rsid w:val="0073054D"/>
    <w:rsid w:val="00756FFD"/>
    <w:rsid w:val="007618DB"/>
    <w:rsid w:val="007766EA"/>
    <w:rsid w:val="00786006"/>
    <w:rsid w:val="00792D37"/>
    <w:rsid w:val="00792D7B"/>
    <w:rsid w:val="007A432D"/>
    <w:rsid w:val="007B6CCE"/>
    <w:rsid w:val="007E27D6"/>
    <w:rsid w:val="007E4A6B"/>
    <w:rsid w:val="007F00F1"/>
    <w:rsid w:val="007F084A"/>
    <w:rsid w:val="007F3A49"/>
    <w:rsid w:val="00845FD5"/>
    <w:rsid w:val="0086258F"/>
    <w:rsid w:val="00867480"/>
    <w:rsid w:val="008B54F2"/>
    <w:rsid w:val="0093435F"/>
    <w:rsid w:val="0095454E"/>
    <w:rsid w:val="009C1672"/>
    <w:rsid w:val="00A71C99"/>
    <w:rsid w:val="00B14C5E"/>
    <w:rsid w:val="00B45E24"/>
    <w:rsid w:val="00B74433"/>
    <w:rsid w:val="00BD56FE"/>
    <w:rsid w:val="00BF2822"/>
    <w:rsid w:val="00BF5825"/>
    <w:rsid w:val="00C01084"/>
    <w:rsid w:val="00C64AF4"/>
    <w:rsid w:val="00CA10E5"/>
    <w:rsid w:val="00CC3DC6"/>
    <w:rsid w:val="00CC59BE"/>
    <w:rsid w:val="00CF0B93"/>
    <w:rsid w:val="00D4373F"/>
    <w:rsid w:val="00D82A01"/>
    <w:rsid w:val="00D97911"/>
    <w:rsid w:val="00DC50D2"/>
    <w:rsid w:val="00DF1156"/>
    <w:rsid w:val="00E15B3B"/>
    <w:rsid w:val="00E275CA"/>
    <w:rsid w:val="00E716E7"/>
    <w:rsid w:val="00EF647B"/>
    <w:rsid w:val="00F07BA6"/>
    <w:rsid w:val="00F35211"/>
    <w:rsid w:val="00F528D9"/>
    <w:rsid w:val="00F535CC"/>
    <w:rsid w:val="00F672EB"/>
    <w:rsid w:val="00FB657D"/>
    <w:rsid w:val="00FC2C77"/>
    <w:rsid w:val="00FE2EF7"/>
    <w:rsid w:val="00FF6A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DB9B7"/>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7BA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4B05DF"/>
    <w:pPr>
      <w:spacing w:after="100"/>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link w:val="CaptionChar"/>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5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1"/>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 w:type="paragraph" w:customStyle="1" w:styleId="Best2">
    <w:name w:val="Best2"/>
    <w:basedOn w:val="Normal"/>
    <w:link w:val="Best2Char"/>
    <w:qFormat/>
    <w:rsid w:val="00786006"/>
    <w:pPr>
      <w:numPr>
        <w:numId w:val="2"/>
      </w:numPr>
      <w:spacing w:after="120" w:line="300" w:lineRule="exact"/>
      <w:jc w:val="both"/>
    </w:pPr>
    <w:rPr>
      <w:rFonts w:ascii="Times New Roman" w:eastAsiaTheme="minorEastAsia" w:hAnsi="Times New Roman"/>
      <w:lang w:val="en-NZ" w:eastAsia="en-NZ"/>
    </w:rPr>
  </w:style>
  <w:style w:type="character" w:customStyle="1" w:styleId="Best2Char">
    <w:name w:val="Best2 Char"/>
    <w:basedOn w:val="DefaultParagraphFont"/>
    <w:link w:val="Best2"/>
    <w:rsid w:val="00786006"/>
    <w:rPr>
      <w:rFonts w:ascii="Times New Roman" w:eastAsiaTheme="minorEastAsia" w:hAnsi="Times New Roman"/>
      <w:lang w:val="en-NZ" w:eastAsia="en-NZ"/>
    </w:rPr>
  </w:style>
  <w:style w:type="paragraph" w:customStyle="1" w:styleId="favourite">
    <w:name w:val="favourite"/>
    <w:basedOn w:val="Default"/>
    <w:link w:val="favouriteChar"/>
    <w:qFormat/>
    <w:rsid w:val="00786006"/>
    <w:pPr>
      <w:numPr>
        <w:numId w:val="3"/>
      </w:numPr>
    </w:pPr>
  </w:style>
  <w:style w:type="character" w:customStyle="1" w:styleId="favouriteChar">
    <w:name w:val="favourite Char"/>
    <w:basedOn w:val="DefaultChar"/>
    <w:link w:val="favourite"/>
    <w:rsid w:val="00786006"/>
    <w:rPr>
      <w:rFonts w:ascii="Times New Roman" w:eastAsiaTheme="minorEastAsia" w:hAnsi="Times New Roman" w:cs="Times New Roman"/>
      <w:color w:val="000000"/>
      <w:sz w:val="24"/>
      <w:szCs w:val="24"/>
      <w:lang w:val="en-NZ" w:eastAsia="en-NZ"/>
    </w:rPr>
  </w:style>
  <w:style w:type="paragraph" w:customStyle="1" w:styleId="WCPFCCaption">
    <w:name w:val="WCPFC Caption"/>
    <w:basedOn w:val="Caption"/>
    <w:link w:val="WCPFCCaptionChar"/>
    <w:qFormat/>
    <w:rsid w:val="00013F4E"/>
    <w:pPr>
      <w:ind w:left="720" w:hanging="720"/>
    </w:pPr>
    <w:rPr>
      <w:rFonts w:ascii="Times New Roman" w:eastAsiaTheme="minorEastAsia" w:hAnsi="Times New Roman" w:cs="Times New Roman"/>
      <w:b/>
      <w:bCs/>
      <w:i w:val="0"/>
      <w:iCs w:val="0"/>
      <w:color w:val="auto"/>
      <w:lang w:val="en-NZ" w:eastAsia="en-NZ"/>
    </w:rPr>
  </w:style>
  <w:style w:type="character" w:customStyle="1" w:styleId="WCPFCCaptionChar">
    <w:name w:val="WCPFC Caption Char"/>
    <w:basedOn w:val="DefaultParagraphFont"/>
    <w:link w:val="WCPFCCaption"/>
    <w:rsid w:val="00013F4E"/>
    <w:rPr>
      <w:rFonts w:ascii="Times New Roman" w:eastAsiaTheme="minorEastAsia" w:hAnsi="Times New Roman" w:cs="Times New Roman"/>
      <w:b/>
      <w:bCs/>
      <w:sz w:val="18"/>
      <w:szCs w:val="18"/>
      <w:lang w:val="en-NZ" w:eastAsia="en-NZ"/>
    </w:rPr>
  </w:style>
  <w:style w:type="character" w:customStyle="1" w:styleId="CaptionChar">
    <w:name w:val="Caption Char"/>
    <w:basedOn w:val="DefaultParagraphFont"/>
    <w:link w:val="Caption"/>
    <w:uiPriority w:val="35"/>
    <w:rsid w:val="00013F4E"/>
    <w:rPr>
      <w:i/>
      <w:iCs/>
      <w:color w:val="44546A" w:themeColor="text2"/>
      <w:sz w:val="18"/>
      <w:szCs w:val="18"/>
    </w:rPr>
  </w:style>
  <w:style w:type="character" w:customStyle="1" w:styleId="Heading6Char">
    <w:name w:val="Heading 6 Char"/>
    <w:basedOn w:val="DefaultParagraphFont"/>
    <w:link w:val="Heading6"/>
    <w:uiPriority w:val="9"/>
    <w:semiHidden/>
    <w:rsid w:val="00F07BA6"/>
    <w:rPr>
      <w:rFonts w:asciiTheme="majorHAnsi" w:eastAsiaTheme="majorEastAsia" w:hAnsiTheme="majorHAnsi" w:cstheme="majorBidi"/>
      <w:color w:val="1F3763" w:themeColor="accent1" w:themeShade="7F"/>
    </w:rPr>
  </w:style>
  <w:style w:type="paragraph" w:customStyle="1" w:styleId="SCa">
    <w:name w:val="SC a"/>
    <w:basedOn w:val="ListParagraph"/>
    <w:link w:val="SCaChar"/>
    <w:qFormat/>
    <w:rsid w:val="007E27D6"/>
    <w:pPr>
      <w:numPr>
        <w:numId w:val="6"/>
      </w:numPr>
      <w:tabs>
        <w:tab w:val="left" w:pos="720"/>
        <w:tab w:val="left" w:pos="1080"/>
      </w:tabs>
      <w:adjustRightInd w:val="0"/>
      <w:snapToGrid w:val="0"/>
      <w:spacing w:after="240"/>
      <w:contextualSpacing w:val="0"/>
    </w:pPr>
    <w:rPr>
      <w:rFonts w:ascii="Times New Roman" w:eastAsia="Batang" w:hAnsi="Times New Roman"/>
      <w:b/>
      <w:lang w:eastAsia="ko-KR" w:bidi="th-TH"/>
    </w:rPr>
  </w:style>
  <w:style w:type="character" w:customStyle="1" w:styleId="SCaChar">
    <w:name w:val="SC a Char"/>
    <w:basedOn w:val="ListParagraphChar"/>
    <w:link w:val="SCa"/>
    <w:rsid w:val="007E27D6"/>
    <w:rPr>
      <w:rFonts w:ascii="Times New Roman" w:eastAsia="Batang" w:hAnsi="Times New Roman" w:cs="Times New Roman"/>
      <w:b/>
      <w:lang w:val="en-NZ" w:eastAsia="ko-KR" w:bidi="th-TH"/>
    </w:rPr>
  </w:style>
  <w:style w:type="paragraph" w:styleId="BalloonText">
    <w:name w:val="Balloon Text"/>
    <w:basedOn w:val="Normal"/>
    <w:link w:val="BalloonTextChar"/>
    <w:uiPriority w:val="99"/>
    <w:semiHidden/>
    <w:unhideWhenUsed/>
    <w:rsid w:val="007E2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7D6"/>
    <w:rPr>
      <w:rFonts w:ascii="Segoe UI" w:hAnsi="Segoe UI" w:cs="Segoe UI"/>
      <w:sz w:val="18"/>
      <w:szCs w:val="18"/>
    </w:rPr>
  </w:style>
  <w:style w:type="paragraph" w:customStyle="1" w:styleId="SC2">
    <w:name w:val="SC 2"/>
    <w:basedOn w:val="Normal"/>
    <w:qFormat/>
    <w:rsid w:val="007E27D6"/>
    <w:pPr>
      <w:keepNext/>
      <w:numPr>
        <w:ilvl w:val="1"/>
        <w:numId w:val="8"/>
      </w:numPr>
      <w:suppressLineNumbers/>
      <w:adjustRightInd w:val="0"/>
      <w:snapToGrid w:val="0"/>
      <w:spacing w:after="220" w:line="240" w:lineRule="auto"/>
      <w:jc w:val="both"/>
    </w:pPr>
    <w:rPr>
      <w:rFonts w:ascii="Times New Roman" w:eastAsia="Times New Roman" w:hAnsi="Times New Roman" w:cs="Times New Roman"/>
      <w:b/>
      <w:lang w:val="en-NZ"/>
    </w:rPr>
  </w:style>
  <w:style w:type="paragraph" w:customStyle="1" w:styleId="SC3">
    <w:name w:val="SC 3"/>
    <w:basedOn w:val="SC2"/>
    <w:link w:val="SC3Char"/>
    <w:qFormat/>
    <w:rsid w:val="007E27D6"/>
    <w:pPr>
      <w:numPr>
        <w:ilvl w:val="2"/>
      </w:numPr>
    </w:pPr>
  </w:style>
  <w:style w:type="character" w:customStyle="1" w:styleId="SC3Char">
    <w:name w:val="SC 3 Char"/>
    <w:basedOn w:val="DefaultParagraphFont"/>
    <w:link w:val="SC3"/>
    <w:rsid w:val="007E27D6"/>
    <w:rPr>
      <w:rFonts w:ascii="Times New Roman" w:eastAsia="Times New Roman" w:hAnsi="Times New Roman" w:cs="Times New Roman"/>
      <w:b/>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pfc.int/node/299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cpfc.int/node/29904" TargetMode="External"/><Relationship Id="rId4" Type="http://schemas.openxmlformats.org/officeDocument/2006/relationships/settings" Target="settings.xml"/><Relationship Id="rId9" Type="http://schemas.openxmlformats.org/officeDocument/2006/relationships/hyperlink" Target="https://www.wcpfc.int/node/29904" TargetMode="External"/><Relationship Id="rId14" Type="http://schemas.openxmlformats.org/officeDocument/2006/relationships/hyperlink" Target="https://www.wcpfc.int/node/29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BC77B-E970-4FA5-B257-A70375DE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SungKwon Soh</cp:lastModifiedBy>
  <cp:revision>3</cp:revision>
  <dcterms:created xsi:type="dcterms:W3CDTF">2019-11-19T03:47:00Z</dcterms:created>
  <dcterms:modified xsi:type="dcterms:W3CDTF">2019-11-19T04:03:00Z</dcterms:modified>
</cp:coreProperties>
</file>