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3E2" w:rsidRDefault="001963E2" w:rsidP="00037D97">
      <w:pPr>
        <w:spacing w:after="0" w:line="240" w:lineRule="auto"/>
        <w:jc w:val="center"/>
        <w:rPr>
          <w:rFonts w:ascii="Arial" w:hAnsi="Arial"/>
          <w:b/>
          <w:sz w:val="24"/>
        </w:rPr>
      </w:pPr>
      <w:r>
        <w:rPr>
          <w:b/>
          <w:sz w:val="28"/>
        </w:rPr>
        <w:t>CHINA</w:t>
      </w:r>
      <w:r w:rsidRPr="00F6548C">
        <w:rPr>
          <w:rFonts w:ascii="Arial" w:hAnsi="Arial"/>
          <w:b/>
          <w:sz w:val="24"/>
        </w:rPr>
        <w:t xml:space="preserve"> </w:t>
      </w:r>
    </w:p>
    <w:p w:rsidR="001963E2" w:rsidRDefault="001963E2" w:rsidP="001963E2">
      <w:pPr>
        <w:spacing w:after="0"/>
        <w:jc w:val="center"/>
        <w:rPr>
          <w:b/>
        </w:rPr>
      </w:pPr>
      <w:r w:rsidRPr="00761BF6">
        <w:rPr>
          <w:b/>
        </w:rPr>
        <w:t>Paragraph 21 of CMM 2012-02 Compliance Monitoring Scheme states "Each CCM shall incl</w:t>
      </w:r>
      <w:bookmarkStart w:id="0" w:name="_GoBack"/>
      <w:bookmarkEnd w:id="0"/>
      <w:r w:rsidRPr="00761BF6">
        <w:rPr>
          <w:b/>
        </w:rPr>
        <w:t xml:space="preserve">ude, in its Part 2 Annual Report, any actions it has taken to address its non-compliance in the previous year.  </w:t>
      </w:r>
      <w:r>
        <w:rPr>
          <w:b/>
        </w:rPr>
        <w:t xml:space="preserve">  </w:t>
      </w:r>
      <w:r w:rsidRPr="00761BF6">
        <w:rPr>
          <w:b/>
        </w:rPr>
        <w:t>The list below shows the</w:t>
      </w:r>
      <w:r>
        <w:rPr>
          <w:b/>
        </w:rPr>
        <w:t xml:space="preserve"> 2012 CMR</w:t>
      </w:r>
      <w:r w:rsidRPr="00761BF6">
        <w:rPr>
          <w:b/>
        </w:rPr>
        <w:t xml:space="preserve"> issues that were highlighted in TCC8s provisional CMR report for </w:t>
      </w:r>
      <w:r>
        <w:rPr>
          <w:b/>
        </w:rPr>
        <w:t xml:space="preserve">China </w:t>
      </w:r>
      <w:r w:rsidRPr="00761BF6">
        <w:rPr>
          <w:b/>
        </w:rPr>
        <w:t>- covering 2011 activities</w:t>
      </w:r>
    </w:p>
    <w:p w:rsidR="001963E2" w:rsidRPr="00761BF6" w:rsidRDefault="001963E2" w:rsidP="001963E2">
      <w:pPr>
        <w:jc w:val="center"/>
        <w:rPr>
          <w:b/>
          <w:i/>
          <w:sz w:val="20"/>
          <w:szCs w:val="20"/>
        </w:rPr>
      </w:pPr>
      <w:r w:rsidRPr="00761BF6">
        <w:rPr>
          <w:b/>
          <w:i/>
          <w:sz w:val="20"/>
          <w:szCs w:val="20"/>
        </w:rPr>
        <w:t xml:space="preserve">Key:  A = Compliant, </w:t>
      </w:r>
      <w:r>
        <w:rPr>
          <w:b/>
          <w:i/>
          <w:sz w:val="20"/>
          <w:szCs w:val="20"/>
        </w:rPr>
        <w:t xml:space="preserve">B = Not Applicable, C = </w:t>
      </w:r>
      <w:r w:rsidR="00BB0733">
        <w:rPr>
          <w:b/>
          <w:i/>
          <w:sz w:val="20"/>
          <w:szCs w:val="20"/>
        </w:rPr>
        <w:t>Compliance</w:t>
      </w:r>
      <w:r w:rsidRPr="00761BF6">
        <w:rPr>
          <w:b/>
          <w:i/>
          <w:sz w:val="20"/>
          <w:szCs w:val="20"/>
        </w:rPr>
        <w:t xml:space="preserve"> Review</w:t>
      </w:r>
    </w:p>
    <w:p w:rsidR="00877077" w:rsidRPr="00F6548C" w:rsidRDefault="00877077" w:rsidP="00877077">
      <w:pPr>
        <w:spacing w:after="0" w:line="240" w:lineRule="auto"/>
        <w:jc w:val="center"/>
        <w:rPr>
          <w:b/>
          <w:sz w:val="14"/>
        </w:rPr>
      </w:pPr>
    </w:p>
    <w:tbl>
      <w:tblPr>
        <w:tblStyle w:val="TableGrid"/>
        <w:tblW w:w="0" w:type="auto"/>
        <w:tblLook w:val="04A0" w:firstRow="1" w:lastRow="0" w:firstColumn="1" w:lastColumn="0" w:noHBand="0" w:noVBand="1"/>
      </w:tblPr>
      <w:tblGrid>
        <w:gridCol w:w="2334"/>
        <w:gridCol w:w="4704"/>
        <w:gridCol w:w="362"/>
        <w:gridCol w:w="1348"/>
        <w:gridCol w:w="1703"/>
        <w:gridCol w:w="2533"/>
      </w:tblGrid>
      <w:tr w:rsidR="001963E2" w:rsidRPr="00F6548C" w:rsidTr="00BB0733">
        <w:tc>
          <w:tcPr>
            <w:tcW w:w="2334" w:type="dxa"/>
            <w:shd w:val="clear" w:color="auto" w:fill="C6D9F1" w:themeFill="text2" w:themeFillTint="33"/>
          </w:tcPr>
          <w:p w:rsidR="001963E2" w:rsidRPr="00F6548C" w:rsidRDefault="001963E2" w:rsidP="00154313">
            <w:pPr>
              <w:jc w:val="both"/>
              <w:rPr>
                <w:b/>
              </w:rPr>
            </w:pPr>
            <w:r w:rsidRPr="00F6548C">
              <w:rPr>
                <w:b/>
              </w:rPr>
              <w:t>Category</w:t>
            </w:r>
          </w:p>
        </w:tc>
        <w:tc>
          <w:tcPr>
            <w:tcW w:w="4704" w:type="dxa"/>
            <w:tcBorders>
              <w:bottom w:val="single" w:sz="4" w:space="0" w:color="auto"/>
            </w:tcBorders>
            <w:shd w:val="clear" w:color="auto" w:fill="C6D9F1" w:themeFill="text2" w:themeFillTint="33"/>
          </w:tcPr>
          <w:p w:rsidR="001963E2" w:rsidRPr="00F6548C" w:rsidRDefault="001963E2" w:rsidP="007360EF">
            <w:pPr>
              <w:rPr>
                <w:b/>
              </w:rPr>
            </w:pPr>
            <w:r w:rsidRPr="00F6548C">
              <w:rPr>
                <w:b/>
              </w:rPr>
              <w:t>Any issues identified or additional information required for 2011?</w:t>
            </w:r>
          </w:p>
        </w:tc>
        <w:tc>
          <w:tcPr>
            <w:tcW w:w="1710" w:type="dxa"/>
            <w:gridSpan w:val="2"/>
            <w:shd w:val="clear" w:color="auto" w:fill="C6D9F1" w:themeFill="text2" w:themeFillTint="33"/>
          </w:tcPr>
          <w:p w:rsidR="001963E2" w:rsidRPr="00F6548C" w:rsidRDefault="001963E2" w:rsidP="007360EF">
            <w:pPr>
              <w:rPr>
                <w:b/>
              </w:rPr>
            </w:pPr>
            <w:r w:rsidRPr="00F6548C">
              <w:rPr>
                <w:b/>
              </w:rPr>
              <w:t>CCM Response (</w:t>
            </w:r>
            <w:r w:rsidRPr="00F6548C">
              <w:rPr>
                <w:b/>
                <w:i/>
              </w:rPr>
              <w:t>if none received to date</w:t>
            </w:r>
            <w:r w:rsidRPr="00F6548C">
              <w:rPr>
                <w:b/>
              </w:rPr>
              <w:t>)</w:t>
            </w:r>
          </w:p>
        </w:tc>
        <w:tc>
          <w:tcPr>
            <w:tcW w:w="1703" w:type="dxa"/>
            <w:shd w:val="clear" w:color="auto" w:fill="C6D9F1" w:themeFill="text2" w:themeFillTint="33"/>
          </w:tcPr>
          <w:p w:rsidR="001963E2" w:rsidRPr="00F6548C" w:rsidRDefault="001963E2" w:rsidP="007360EF">
            <w:pPr>
              <w:rPr>
                <w:b/>
              </w:rPr>
            </w:pPr>
            <w:r>
              <w:rPr>
                <w:b/>
              </w:rPr>
              <w:t>Compliance or Implementation Status</w:t>
            </w:r>
          </w:p>
        </w:tc>
        <w:tc>
          <w:tcPr>
            <w:tcW w:w="2533" w:type="dxa"/>
            <w:shd w:val="clear" w:color="auto" w:fill="C6D9F1" w:themeFill="text2" w:themeFillTint="33"/>
          </w:tcPr>
          <w:p w:rsidR="001963E2" w:rsidRDefault="001963E2" w:rsidP="007360EF">
            <w:pPr>
              <w:rPr>
                <w:b/>
              </w:rPr>
            </w:pPr>
            <w:r>
              <w:rPr>
                <w:b/>
              </w:rPr>
              <w:t>AR Part 2 2012 CCM Reponses</w:t>
            </w:r>
            <w:r>
              <w:rPr>
                <w:b/>
              </w:rPr>
              <w:t xml:space="preserve"> </w:t>
            </w:r>
          </w:p>
        </w:tc>
      </w:tr>
      <w:tr w:rsidR="001963E2" w:rsidRPr="00F6548C" w:rsidTr="00BB0733">
        <w:tc>
          <w:tcPr>
            <w:tcW w:w="2334" w:type="dxa"/>
            <w:shd w:val="clear" w:color="auto" w:fill="auto"/>
          </w:tcPr>
          <w:p w:rsidR="001963E2" w:rsidRPr="00F6548C" w:rsidRDefault="001963E2" w:rsidP="003B019D">
            <w:pPr>
              <w:pStyle w:val="ListParagraph"/>
              <w:numPr>
                <w:ilvl w:val="0"/>
                <w:numId w:val="3"/>
              </w:numPr>
              <w:ind w:left="360" w:hanging="360"/>
              <w:rPr>
                <w:b/>
              </w:rPr>
            </w:pPr>
            <w:r w:rsidRPr="00F6548C">
              <w:rPr>
                <w:b/>
              </w:rPr>
              <w:t>Catch and effort limits</w:t>
            </w:r>
          </w:p>
        </w:tc>
        <w:tc>
          <w:tcPr>
            <w:tcW w:w="4704" w:type="dxa"/>
            <w:shd w:val="clear" w:color="auto" w:fill="auto"/>
          </w:tcPr>
          <w:p w:rsidR="001963E2" w:rsidRPr="001963E2" w:rsidRDefault="001963E2" w:rsidP="003B655E">
            <w:pPr>
              <w:jc w:val="both"/>
              <w:rPr>
                <w:rFonts w:cstheme="minorHAnsi"/>
              </w:rPr>
            </w:pPr>
            <w:r w:rsidRPr="001963E2">
              <w:rPr>
                <w:rFonts w:cstheme="minorHAnsi"/>
              </w:rPr>
              <w:t xml:space="preserve">2005-03 North Pacific ALB </w:t>
            </w:r>
            <w:proofErr w:type="spellStart"/>
            <w:r w:rsidRPr="001963E2">
              <w:rPr>
                <w:rFonts w:cstheme="minorHAnsi"/>
              </w:rPr>
              <w:t>para</w:t>
            </w:r>
            <w:proofErr w:type="spellEnd"/>
            <w:r w:rsidRPr="001963E2">
              <w:rPr>
                <w:rFonts w:cstheme="minorHAnsi"/>
              </w:rPr>
              <w:t xml:space="preserve"> 2:  No increase in current (2002-2004) fishing effort by vessels fishing for NP ALB in the CA.</w:t>
            </w:r>
          </w:p>
          <w:p w:rsidR="001963E2" w:rsidRPr="001963E2" w:rsidRDefault="001963E2" w:rsidP="001963E2">
            <w:pPr>
              <w:jc w:val="both"/>
              <w:rPr>
                <w:rFonts w:cstheme="minorHAnsi"/>
              </w:rPr>
            </w:pPr>
            <w:r w:rsidRPr="001963E2">
              <w:rPr>
                <w:rFonts w:cstheme="minorHAnsi"/>
              </w:rPr>
              <w:t>Potential compliance or implementation issue</w:t>
            </w:r>
          </w:p>
          <w:p w:rsidR="001963E2" w:rsidRPr="001963E2" w:rsidRDefault="001963E2" w:rsidP="001963E2">
            <w:pPr>
              <w:pStyle w:val="ListParagraph"/>
              <w:numPr>
                <w:ilvl w:val="0"/>
                <w:numId w:val="18"/>
              </w:numPr>
              <w:ind w:left="341" w:firstLine="19"/>
            </w:pPr>
            <w:r w:rsidRPr="001963E2">
              <w:t>Limit in NC8 report China has 10 vessels.  The number of vessel currently only 2 vessels so China confirm no increase in current fishing effort.</w:t>
            </w:r>
          </w:p>
          <w:p w:rsidR="001963E2" w:rsidRPr="001963E2" w:rsidRDefault="001963E2" w:rsidP="001963E2">
            <w:pPr>
              <w:pStyle w:val="ListParagraph"/>
              <w:numPr>
                <w:ilvl w:val="0"/>
                <w:numId w:val="18"/>
              </w:numPr>
              <w:ind w:left="341" w:firstLine="19"/>
            </w:pPr>
            <w:r w:rsidRPr="001963E2">
              <w:t xml:space="preserve">The catch and effort reporting from targeted fishery as well as </w:t>
            </w:r>
            <w:proofErr w:type="spellStart"/>
            <w:r w:rsidRPr="001963E2">
              <w:t>bycatch</w:t>
            </w:r>
            <w:proofErr w:type="spellEnd"/>
            <w:r w:rsidRPr="001963E2">
              <w:t xml:space="preserve"> needs improvement.</w:t>
            </w:r>
          </w:p>
          <w:p w:rsidR="001963E2" w:rsidRPr="001963E2" w:rsidRDefault="001963E2" w:rsidP="001963E2">
            <w:pPr>
              <w:jc w:val="both"/>
              <w:rPr>
                <w:rFonts w:cstheme="minorHAnsi"/>
              </w:rPr>
            </w:pPr>
          </w:p>
          <w:p w:rsidR="001963E2" w:rsidRPr="001963E2" w:rsidRDefault="001963E2" w:rsidP="003B655E">
            <w:pPr>
              <w:jc w:val="both"/>
              <w:rPr>
                <w:rFonts w:cstheme="minorHAnsi"/>
              </w:rPr>
            </w:pPr>
            <w:r w:rsidRPr="001963E2">
              <w:rPr>
                <w:rFonts w:cstheme="minorHAnsi"/>
              </w:rPr>
              <w:t xml:space="preserve">2008-01 </w:t>
            </w:r>
            <w:proofErr w:type="spellStart"/>
            <w:r w:rsidRPr="001963E2">
              <w:rPr>
                <w:rFonts w:cstheme="minorHAnsi"/>
              </w:rPr>
              <w:t>para</w:t>
            </w:r>
            <w:proofErr w:type="spellEnd"/>
            <w:r w:rsidRPr="001963E2">
              <w:rPr>
                <w:rFonts w:cstheme="minorHAnsi"/>
              </w:rPr>
              <w:t xml:space="preserve"> 31:  </w:t>
            </w:r>
            <w:proofErr w:type="spellStart"/>
            <w:r w:rsidRPr="001963E2">
              <w:rPr>
                <w:rFonts w:cstheme="minorHAnsi"/>
              </w:rPr>
              <w:t>Longline</w:t>
            </w:r>
            <w:proofErr w:type="spellEnd"/>
            <w:r w:rsidRPr="001963E2">
              <w:rPr>
                <w:rFonts w:cstheme="minorHAnsi"/>
              </w:rPr>
              <w:t xml:space="preserve"> catch YFT </w:t>
            </w:r>
            <w:proofErr w:type="spellStart"/>
            <w:r w:rsidRPr="001963E2">
              <w:rPr>
                <w:rFonts w:cstheme="minorHAnsi"/>
              </w:rPr>
              <w:t>nto</w:t>
            </w:r>
            <w:proofErr w:type="spellEnd"/>
            <w:r w:rsidRPr="001963E2">
              <w:rPr>
                <w:rFonts w:cstheme="minorHAnsi"/>
              </w:rPr>
              <w:t xml:space="preserve"> to be increased from 2001-2004 levels</w:t>
            </w:r>
          </w:p>
          <w:p w:rsidR="001963E2" w:rsidRPr="001963E2" w:rsidRDefault="001963E2" w:rsidP="001963E2">
            <w:pPr>
              <w:jc w:val="both"/>
            </w:pPr>
            <w:r w:rsidRPr="001963E2">
              <w:t xml:space="preserve">Potential compliance issue or implementation issue. </w:t>
            </w:r>
          </w:p>
          <w:p w:rsidR="001963E2" w:rsidRPr="001963E2" w:rsidRDefault="001963E2" w:rsidP="001963E2">
            <w:pPr>
              <w:pStyle w:val="ListParagraph"/>
              <w:numPr>
                <w:ilvl w:val="0"/>
                <w:numId w:val="19"/>
              </w:numPr>
            </w:pPr>
            <w:r w:rsidRPr="001963E2">
              <w:t xml:space="preserve">China interpretation of </w:t>
            </w:r>
            <w:proofErr w:type="spellStart"/>
            <w:r w:rsidRPr="001963E2">
              <w:t>para</w:t>
            </w:r>
            <w:proofErr w:type="spellEnd"/>
            <w:r w:rsidRPr="001963E2">
              <w:t xml:space="preserve"> 31, for YFT they should be able to pick the year 2004, but not limited to the average 2001-2004  The limit, as reported by SPC is 4048mt.</w:t>
            </w:r>
          </w:p>
          <w:p w:rsidR="001963E2" w:rsidRPr="001963E2" w:rsidRDefault="001963E2" w:rsidP="001963E2">
            <w:pPr>
              <w:pStyle w:val="ListParagraph"/>
              <w:numPr>
                <w:ilvl w:val="0"/>
                <w:numId w:val="19"/>
              </w:numPr>
            </w:pPr>
            <w:r w:rsidRPr="001963E2">
              <w:t>Request SPC to work with China on the revision of the historical catch estimates to cover overlap area for YFT.</w:t>
            </w:r>
          </w:p>
          <w:p w:rsidR="001963E2" w:rsidRPr="001963E2" w:rsidRDefault="001963E2" w:rsidP="003B655E">
            <w:pPr>
              <w:jc w:val="both"/>
              <w:rPr>
                <w:rFonts w:cstheme="minorHAnsi"/>
              </w:rPr>
            </w:pPr>
          </w:p>
          <w:p w:rsidR="001963E2" w:rsidRPr="001963E2" w:rsidRDefault="001963E2" w:rsidP="003B655E">
            <w:pPr>
              <w:jc w:val="both"/>
            </w:pPr>
            <w:r w:rsidRPr="001963E2">
              <w:rPr>
                <w:rFonts w:cstheme="minorHAnsi"/>
              </w:rPr>
              <w:lastRenderedPageBreak/>
              <w:t xml:space="preserve">2008-01 </w:t>
            </w:r>
            <w:proofErr w:type="spellStart"/>
            <w:r w:rsidRPr="001963E2">
              <w:rPr>
                <w:rFonts w:cstheme="minorHAnsi"/>
              </w:rPr>
              <w:t>para</w:t>
            </w:r>
            <w:proofErr w:type="spellEnd"/>
            <w:r w:rsidRPr="001963E2">
              <w:rPr>
                <w:rFonts w:cstheme="minorHAnsi"/>
              </w:rPr>
              <w:t xml:space="preserve"> 33:  </w:t>
            </w:r>
            <w:r w:rsidRPr="001963E2">
              <w:t>CCMs with &gt;2000T LL catch of BET in 2004 to implement 30% reduction in 2011 of the catch specified in Attachment F</w:t>
            </w:r>
          </w:p>
          <w:p w:rsidR="001963E2" w:rsidRPr="001963E2" w:rsidRDefault="001963E2" w:rsidP="001963E2">
            <w:pPr>
              <w:jc w:val="both"/>
            </w:pPr>
            <w:r w:rsidRPr="001963E2">
              <w:t>Potential compliance issue, subject to interpretation of the CMM</w:t>
            </w:r>
          </w:p>
          <w:p w:rsidR="001963E2" w:rsidRPr="001963E2" w:rsidRDefault="001963E2" w:rsidP="001963E2">
            <w:pPr>
              <w:pStyle w:val="ListParagraph"/>
              <w:numPr>
                <w:ilvl w:val="0"/>
                <w:numId w:val="20"/>
              </w:numPr>
              <w:jc w:val="both"/>
            </w:pPr>
            <w:r w:rsidRPr="001963E2">
              <w:t>China also noted that there is an issue of their catch in the overlap area being counted against their  catch limit in the IATTC and this is an issue that need to be considered by the Commission</w:t>
            </w:r>
          </w:p>
          <w:p w:rsidR="001963E2" w:rsidRPr="001963E2" w:rsidRDefault="001963E2" w:rsidP="003B655E">
            <w:pPr>
              <w:jc w:val="both"/>
              <w:rPr>
                <w:rFonts w:cstheme="minorHAnsi"/>
              </w:rPr>
            </w:pPr>
          </w:p>
          <w:p w:rsidR="001963E2" w:rsidRPr="001963E2" w:rsidRDefault="001963E2" w:rsidP="003B655E">
            <w:pPr>
              <w:jc w:val="both"/>
              <w:rPr>
                <w:rFonts w:cstheme="minorHAnsi"/>
              </w:rPr>
            </w:pPr>
            <w:r w:rsidRPr="001963E2">
              <w:rPr>
                <w:rFonts w:cstheme="minorHAnsi"/>
              </w:rPr>
              <w:t xml:space="preserve">2010-05 SP Albacore </w:t>
            </w:r>
            <w:proofErr w:type="spellStart"/>
            <w:r w:rsidRPr="001963E2">
              <w:rPr>
                <w:rFonts w:cstheme="minorHAnsi"/>
              </w:rPr>
              <w:t>para</w:t>
            </w:r>
            <w:proofErr w:type="spellEnd"/>
            <w:r w:rsidRPr="001963E2">
              <w:rPr>
                <w:rFonts w:cstheme="minorHAnsi"/>
              </w:rPr>
              <w:t xml:space="preserve"> 1:  </w:t>
            </w:r>
          </w:p>
          <w:p w:rsidR="001963E2" w:rsidRPr="001963E2" w:rsidRDefault="001963E2" w:rsidP="003B655E">
            <w:pPr>
              <w:jc w:val="both"/>
            </w:pPr>
            <w:r w:rsidRPr="001963E2">
              <w:t>No increase in number of vessels actively fishing for albacore south of 20S above 2005 or 2000-2004 levels</w:t>
            </w:r>
          </w:p>
          <w:p w:rsidR="001963E2" w:rsidRPr="001963E2" w:rsidRDefault="001963E2" w:rsidP="001963E2">
            <w:pPr>
              <w:jc w:val="both"/>
            </w:pPr>
            <w:r w:rsidRPr="001963E2">
              <w:t xml:space="preserve">Potential compliance or implementation issue </w:t>
            </w:r>
          </w:p>
          <w:p w:rsidR="001963E2" w:rsidRPr="001963E2" w:rsidRDefault="001963E2" w:rsidP="001963E2">
            <w:pPr>
              <w:pStyle w:val="ListParagraph"/>
              <w:numPr>
                <w:ilvl w:val="0"/>
                <w:numId w:val="20"/>
              </w:numPr>
            </w:pPr>
            <w:r w:rsidRPr="001963E2">
              <w:t>No licenses issued for SP albacore S of 20S.  There may be some limited number of vessels fishing for SP ALB from 2000-2005.</w:t>
            </w:r>
          </w:p>
          <w:p w:rsidR="001963E2" w:rsidRPr="001963E2" w:rsidRDefault="001963E2" w:rsidP="001963E2">
            <w:pPr>
              <w:pStyle w:val="ListParagraph"/>
              <w:numPr>
                <w:ilvl w:val="0"/>
                <w:numId w:val="20"/>
              </w:numPr>
            </w:pPr>
            <w:r w:rsidRPr="001963E2">
              <w:t>China undertakes to investigate what the level of historical activity was so as to determine the appropriate limit under this measure.</w:t>
            </w:r>
          </w:p>
          <w:p w:rsidR="001963E2" w:rsidRPr="001963E2" w:rsidRDefault="001963E2" w:rsidP="003B655E">
            <w:pPr>
              <w:jc w:val="both"/>
              <w:rPr>
                <w:rFonts w:cstheme="minorHAnsi"/>
              </w:rPr>
            </w:pPr>
          </w:p>
        </w:tc>
        <w:tc>
          <w:tcPr>
            <w:tcW w:w="1710" w:type="dxa"/>
            <w:gridSpan w:val="2"/>
          </w:tcPr>
          <w:p w:rsidR="001963E2" w:rsidRPr="00F6548C" w:rsidRDefault="001963E2" w:rsidP="00154313">
            <w:pPr>
              <w:jc w:val="both"/>
            </w:pPr>
          </w:p>
        </w:tc>
        <w:tc>
          <w:tcPr>
            <w:tcW w:w="1703" w:type="dxa"/>
          </w:tcPr>
          <w:p w:rsidR="001963E2" w:rsidRPr="00F6548C" w:rsidRDefault="001963E2" w:rsidP="00154313">
            <w:pPr>
              <w:jc w:val="both"/>
            </w:pPr>
            <w:r>
              <w:t>C</w:t>
            </w:r>
          </w:p>
        </w:tc>
        <w:tc>
          <w:tcPr>
            <w:tcW w:w="2533" w:type="dxa"/>
            <w:shd w:val="clear" w:color="auto" w:fill="B6DDE8" w:themeFill="accent5" w:themeFillTint="66"/>
          </w:tcPr>
          <w:p w:rsidR="001963E2" w:rsidRDefault="007D1D4E" w:rsidP="00154313">
            <w:pPr>
              <w:jc w:val="both"/>
            </w:pPr>
            <w:r>
              <w:t>No response</w:t>
            </w:r>
          </w:p>
        </w:tc>
      </w:tr>
      <w:tr w:rsidR="001963E2" w:rsidRPr="00F6548C" w:rsidTr="00BB0733">
        <w:tc>
          <w:tcPr>
            <w:tcW w:w="2334" w:type="dxa"/>
            <w:shd w:val="clear" w:color="auto" w:fill="auto"/>
          </w:tcPr>
          <w:p w:rsidR="001963E2" w:rsidRPr="00F6548C" w:rsidRDefault="001963E2" w:rsidP="003B019D">
            <w:pPr>
              <w:pStyle w:val="ListParagraph"/>
              <w:numPr>
                <w:ilvl w:val="0"/>
                <w:numId w:val="3"/>
              </w:numPr>
              <w:ind w:left="360" w:hanging="360"/>
              <w:rPr>
                <w:b/>
              </w:rPr>
            </w:pPr>
            <w:r w:rsidRPr="00F6548C">
              <w:rPr>
                <w:b/>
              </w:rPr>
              <w:lastRenderedPageBreak/>
              <w:t>Catch and effort reporting</w:t>
            </w:r>
          </w:p>
        </w:tc>
        <w:tc>
          <w:tcPr>
            <w:tcW w:w="4704" w:type="dxa"/>
            <w:shd w:val="clear" w:color="auto" w:fill="auto"/>
          </w:tcPr>
          <w:p w:rsidR="001963E2" w:rsidRPr="001963E2" w:rsidRDefault="001963E2" w:rsidP="00CF5894">
            <w:pPr>
              <w:jc w:val="both"/>
            </w:pPr>
            <w:r w:rsidRPr="001963E2">
              <w:t xml:space="preserve">2005-03 NP Albacore </w:t>
            </w:r>
            <w:proofErr w:type="spellStart"/>
            <w:r w:rsidRPr="001963E2">
              <w:t>para</w:t>
            </w:r>
            <w:proofErr w:type="spellEnd"/>
            <w:r w:rsidRPr="001963E2">
              <w:t xml:space="preserve"> 3:  </w:t>
            </w:r>
          </w:p>
          <w:p w:rsidR="001963E2" w:rsidRPr="001963E2" w:rsidRDefault="001963E2" w:rsidP="00CF5894">
            <w:pPr>
              <w:jc w:val="both"/>
            </w:pPr>
            <w:r w:rsidRPr="001963E2">
              <w:rPr>
                <w:sz w:val="18"/>
                <w:szCs w:val="18"/>
              </w:rPr>
              <w:t xml:space="preserve">Report catches of NP albacore every 6 months (small coastal </w:t>
            </w:r>
            <w:r w:rsidRPr="001963E2">
              <w:t>fisheries annually)</w:t>
            </w:r>
          </w:p>
          <w:p w:rsidR="001963E2" w:rsidRPr="001963E2" w:rsidRDefault="001963E2" w:rsidP="001963E2">
            <w:r w:rsidRPr="001963E2">
              <w:t>Potential compliance or implementation issue.</w:t>
            </w:r>
          </w:p>
          <w:p w:rsidR="001963E2" w:rsidRPr="001963E2" w:rsidRDefault="001963E2" w:rsidP="001963E2">
            <w:pPr>
              <w:pStyle w:val="ListParagraph"/>
              <w:numPr>
                <w:ilvl w:val="0"/>
                <w:numId w:val="21"/>
              </w:numPr>
              <w:ind w:left="341"/>
              <w:jc w:val="both"/>
            </w:pPr>
            <w:r w:rsidRPr="001963E2">
              <w:t>China states there is a need to improve reporting to differentiate north and south pacific albacore</w:t>
            </w:r>
          </w:p>
          <w:p w:rsidR="001963E2" w:rsidRPr="001963E2" w:rsidRDefault="001963E2" w:rsidP="00CF5894">
            <w:pPr>
              <w:jc w:val="both"/>
            </w:pPr>
          </w:p>
          <w:p w:rsidR="001963E2" w:rsidRPr="001963E2" w:rsidRDefault="001963E2" w:rsidP="00CF5894">
            <w:pPr>
              <w:jc w:val="both"/>
              <w:rPr>
                <w:sz w:val="18"/>
                <w:szCs w:val="18"/>
              </w:rPr>
            </w:pPr>
            <w:r w:rsidRPr="001963E2">
              <w:t xml:space="preserve">2010-05 SP Albacore </w:t>
            </w:r>
            <w:proofErr w:type="spellStart"/>
            <w:r w:rsidRPr="001963E2">
              <w:t>para</w:t>
            </w:r>
            <w:proofErr w:type="spellEnd"/>
            <w:r w:rsidRPr="001963E2">
              <w:t xml:space="preserve"> 4:  </w:t>
            </w:r>
            <w:r w:rsidRPr="001963E2">
              <w:rPr>
                <w:sz w:val="18"/>
                <w:szCs w:val="18"/>
              </w:rPr>
              <w:t xml:space="preserve">Report annually on catch levels of fishing vessels that have taken SP albacore as a </w:t>
            </w:r>
            <w:proofErr w:type="spellStart"/>
            <w:r w:rsidRPr="001963E2">
              <w:rPr>
                <w:sz w:val="18"/>
                <w:szCs w:val="18"/>
              </w:rPr>
              <w:lastRenderedPageBreak/>
              <w:t>bycatch</w:t>
            </w:r>
            <w:proofErr w:type="spellEnd"/>
            <w:r w:rsidRPr="001963E2">
              <w:rPr>
                <w:sz w:val="18"/>
                <w:szCs w:val="18"/>
              </w:rPr>
              <w:t>, as well as number and catch levels of vessels actively fishing for SP albacore S of 20S.  Initially to be provided for 2000-2010, and then updated annually</w:t>
            </w:r>
          </w:p>
          <w:p w:rsidR="001963E2" w:rsidRPr="001963E2" w:rsidRDefault="001963E2" w:rsidP="001963E2">
            <w:r w:rsidRPr="001963E2">
              <w:t>Potential compliance or implementation issue.</w:t>
            </w:r>
          </w:p>
          <w:p w:rsidR="001963E2" w:rsidRPr="001963E2" w:rsidRDefault="001963E2" w:rsidP="00CF5894">
            <w:pPr>
              <w:pStyle w:val="ListParagraph"/>
              <w:numPr>
                <w:ilvl w:val="0"/>
                <w:numId w:val="21"/>
              </w:numPr>
              <w:jc w:val="both"/>
            </w:pPr>
            <w:r w:rsidRPr="001963E2">
              <w:t>There is a need to improve reporting to differentiate north and south pacific albacore.</w:t>
            </w:r>
          </w:p>
        </w:tc>
        <w:tc>
          <w:tcPr>
            <w:tcW w:w="1710" w:type="dxa"/>
            <w:gridSpan w:val="2"/>
          </w:tcPr>
          <w:p w:rsidR="001963E2" w:rsidRPr="00F6548C" w:rsidRDefault="001963E2" w:rsidP="00154313">
            <w:pPr>
              <w:jc w:val="both"/>
            </w:pPr>
          </w:p>
        </w:tc>
        <w:tc>
          <w:tcPr>
            <w:tcW w:w="1703" w:type="dxa"/>
          </w:tcPr>
          <w:p w:rsidR="001963E2" w:rsidRPr="00F6548C" w:rsidRDefault="001963E2" w:rsidP="00154313">
            <w:pPr>
              <w:jc w:val="both"/>
            </w:pPr>
            <w:r>
              <w:t>c</w:t>
            </w:r>
          </w:p>
        </w:tc>
        <w:tc>
          <w:tcPr>
            <w:tcW w:w="2533" w:type="dxa"/>
            <w:shd w:val="clear" w:color="auto" w:fill="B6DDE8" w:themeFill="accent5" w:themeFillTint="66"/>
          </w:tcPr>
          <w:p w:rsidR="001963E2" w:rsidRDefault="001963E2" w:rsidP="00154313">
            <w:pPr>
              <w:jc w:val="both"/>
            </w:pPr>
          </w:p>
        </w:tc>
      </w:tr>
      <w:tr w:rsidR="001963E2" w:rsidRPr="00F6548C" w:rsidTr="00BB0733">
        <w:tc>
          <w:tcPr>
            <w:tcW w:w="2334" w:type="dxa"/>
            <w:shd w:val="clear" w:color="auto" w:fill="auto"/>
          </w:tcPr>
          <w:p w:rsidR="001963E2" w:rsidRPr="00F6548C" w:rsidRDefault="001963E2" w:rsidP="003B019D">
            <w:pPr>
              <w:pStyle w:val="ListParagraph"/>
              <w:numPr>
                <w:ilvl w:val="0"/>
                <w:numId w:val="3"/>
              </w:numPr>
              <w:ind w:left="360" w:hanging="360"/>
              <w:rPr>
                <w:b/>
              </w:rPr>
            </w:pPr>
            <w:r w:rsidRPr="00F6548C">
              <w:rPr>
                <w:b/>
              </w:rPr>
              <w:lastRenderedPageBreak/>
              <w:t>Spatial and temporal closures and restrictions on the use of FADs</w:t>
            </w:r>
          </w:p>
        </w:tc>
        <w:tc>
          <w:tcPr>
            <w:tcW w:w="4704" w:type="dxa"/>
            <w:shd w:val="clear" w:color="auto" w:fill="auto"/>
          </w:tcPr>
          <w:p w:rsidR="001963E2" w:rsidRDefault="001963E2" w:rsidP="00410E8A">
            <w:pPr>
              <w:jc w:val="both"/>
            </w:pPr>
            <w:r>
              <w:t xml:space="preserve">2008-01 </w:t>
            </w:r>
            <w:proofErr w:type="spellStart"/>
            <w:r>
              <w:t>para</w:t>
            </w:r>
            <w:proofErr w:type="spellEnd"/>
            <w:r>
              <w:t xml:space="preserve"> 23:  China has not submitted a FAD management plan</w:t>
            </w:r>
          </w:p>
          <w:p w:rsidR="001963E2" w:rsidRPr="00CA7038" w:rsidRDefault="001963E2" w:rsidP="001963E2">
            <w:pPr>
              <w:jc w:val="both"/>
            </w:pPr>
            <w:r w:rsidRPr="00CA7038">
              <w:t>Potential compliance or implementation issue.</w:t>
            </w:r>
          </w:p>
          <w:p w:rsidR="001963E2" w:rsidRPr="00EC2636" w:rsidRDefault="001963E2" w:rsidP="001963E2">
            <w:pPr>
              <w:pStyle w:val="ListParagraph"/>
              <w:numPr>
                <w:ilvl w:val="0"/>
                <w:numId w:val="21"/>
              </w:numPr>
              <w:jc w:val="both"/>
            </w:pPr>
            <w:r w:rsidRPr="00CA7038">
              <w:t>China confirm</w:t>
            </w:r>
            <w:r>
              <w:t>ed</w:t>
            </w:r>
            <w:r w:rsidRPr="00CA7038">
              <w:t xml:space="preserve"> no vessels currently operate in the HS area, only in PNA waters.</w:t>
            </w:r>
          </w:p>
        </w:tc>
        <w:tc>
          <w:tcPr>
            <w:tcW w:w="1710" w:type="dxa"/>
            <w:gridSpan w:val="2"/>
          </w:tcPr>
          <w:p w:rsidR="001963E2" w:rsidRPr="00F6548C" w:rsidRDefault="001963E2" w:rsidP="00154313">
            <w:pPr>
              <w:jc w:val="both"/>
            </w:pPr>
          </w:p>
        </w:tc>
        <w:tc>
          <w:tcPr>
            <w:tcW w:w="1703" w:type="dxa"/>
          </w:tcPr>
          <w:p w:rsidR="001963E2" w:rsidRPr="00F6548C" w:rsidRDefault="001963E2" w:rsidP="00154313">
            <w:pPr>
              <w:jc w:val="both"/>
            </w:pPr>
            <w:r>
              <w:t>B</w:t>
            </w:r>
          </w:p>
        </w:tc>
        <w:tc>
          <w:tcPr>
            <w:tcW w:w="2533" w:type="dxa"/>
            <w:shd w:val="clear" w:color="auto" w:fill="B6DDE8" w:themeFill="accent5" w:themeFillTint="66"/>
          </w:tcPr>
          <w:p w:rsidR="001963E2" w:rsidRDefault="001963E2" w:rsidP="00154313">
            <w:pPr>
              <w:jc w:val="both"/>
            </w:pPr>
          </w:p>
        </w:tc>
      </w:tr>
      <w:tr w:rsidR="001963E2" w:rsidRPr="00F6548C" w:rsidTr="00BB0733">
        <w:tc>
          <w:tcPr>
            <w:tcW w:w="2334" w:type="dxa"/>
            <w:shd w:val="clear" w:color="auto" w:fill="auto"/>
          </w:tcPr>
          <w:p w:rsidR="001963E2" w:rsidRPr="00F6548C" w:rsidRDefault="001963E2" w:rsidP="003B019D">
            <w:pPr>
              <w:pStyle w:val="ListParagraph"/>
              <w:numPr>
                <w:ilvl w:val="0"/>
                <w:numId w:val="3"/>
              </w:numPr>
              <w:ind w:left="360" w:hanging="360"/>
              <w:rPr>
                <w:b/>
              </w:rPr>
            </w:pPr>
            <w:r w:rsidRPr="00F6548C">
              <w:rPr>
                <w:b/>
              </w:rPr>
              <w:t>Observer and VMS coverage</w:t>
            </w:r>
          </w:p>
        </w:tc>
        <w:tc>
          <w:tcPr>
            <w:tcW w:w="4704" w:type="dxa"/>
            <w:shd w:val="clear" w:color="auto" w:fill="auto"/>
          </w:tcPr>
          <w:p w:rsidR="001963E2" w:rsidRDefault="001963E2" w:rsidP="00410E8A">
            <w:pPr>
              <w:jc w:val="both"/>
            </w:pPr>
            <w:r>
              <w:t xml:space="preserve">VMS SSPs 7.2.2 Conduct and report results of MTU/ALC inspections </w:t>
            </w:r>
          </w:p>
          <w:p w:rsidR="001963E2" w:rsidRPr="00CA7038" w:rsidRDefault="001963E2" w:rsidP="00410E8A">
            <w:pPr>
              <w:jc w:val="both"/>
            </w:pPr>
            <w:r w:rsidRPr="00CA7038">
              <w:t>Potential compliance or implementation issue</w:t>
            </w:r>
          </w:p>
          <w:p w:rsidR="001963E2" w:rsidRPr="00CA7038" w:rsidRDefault="001963E2" w:rsidP="001963E2">
            <w:pPr>
              <w:pStyle w:val="ListParagraph"/>
              <w:numPr>
                <w:ilvl w:val="0"/>
                <w:numId w:val="21"/>
              </w:numPr>
              <w:ind w:left="341"/>
              <w:jc w:val="both"/>
            </w:pPr>
            <w:r w:rsidRPr="00CA7038">
              <w:t>China confirms they w</w:t>
            </w:r>
            <w:r>
              <w:t>ill report result of inspection</w:t>
            </w:r>
            <w:r w:rsidRPr="00CA7038">
              <w:t xml:space="preserve"> in future</w:t>
            </w:r>
            <w:r>
              <w:t>.</w:t>
            </w:r>
          </w:p>
          <w:p w:rsidR="001963E2" w:rsidRPr="00EC2636" w:rsidRDefault="001963E2" w:rsidP="00410E8A">
            <w:pPr>
              <w:jc w:val="both"/>
            </w:pPr>
          </w:p>
        </w:tc>
        <w:tc>
          <w:tcPr>
            <w:tcW w:w="1710" w:type="dxa"/>
            <w:gridSpan w:val="2"/>
          </w:tcPr>
          <w:p w:rsidR="001963E2" w:rsidRPr="00F6548C" w:rsidRDefault="001963E2" w:rsidP="00154313">
            <w:pPr>
              <w:jc w:val="both"/>
            </w:pPr>
          </w:p>
        </w:tc>
        <w:tc>
          <w:tcPr>
            <w:tcW w:w="1703" w:type="dxa"/>
          </w:tcPr>
          <w:p w:rsidR="001963E2" w:rsidRPr="00F6548C" w:rsidRDefault="001963E2" w:rsidP="00154313">
            <w:pPr>
              <w:jc w:val="both"/>
            </w:pPr>
            <w:r>
              <w:t>C</w:t>
            </w:r>
          </w:p>
        </w:tc>
        <w:tc>
          <w:tcPr>
            <w:tcW w:w="2533" w:type="dxa"/>
            <w:shd w:val="clear" w:color="auto" w:fill="B6DDE8" w:themeFill="accent5" w:themeFillTint="66"/>
          </w:tcPr>
          <w:p w:rsidR="001963E2" w:rsidRDefault="007D1D4E" w:rsidP="00154313">
            <w:pPr>
              <w:jc w:val="both"/>
            </w:pPr>
            <w:r>
              <w:t>No response</w:t>
            </w:r>
          </w:p>
        </w:tc>
      </w:tr>
      <w:tr w:rsidR="001963E2" w:rsidRPr="00F6548C" w:rsidTr="00BB0733">
        <w:tc>
          <w:tcPr>
            <w:tcW w:w="2334" w:type="dxa"/>
            <w:shd w:val="clear" w:color="auto" w:fill="auto"/>
          </w:tcPr>
          <w:p w:rsidR="001963E2" w:rsidRPr="00F6548C" w:rsidRDefault="001963E2" w:rsidP="003B019D">
            <w:pPr>
              <w:pStyle w:val="ListParagraph"/>
              <w:numPr>
                <w:ilvl w:val="0"/>
                <w:numId w:val="3"/>
              </w:numPr>
              <w:ind w:left="360" w:hanging="360"/>
              <w:rPr>
                <w:b/>
              </w:rPr>
            </w:pPr>
            <w:r w:rsidRPr="00F6548C">
              <w:rPr>
                <w:b/>
              </w:rPr>
              <w:t>Provision of scientific data through Part 1 and the Scientific Data to be provided to the Commission</w:t>
            </w:r>
          </w:p>
        </w:tc>
        <w:tc>
          <w:tcPr>
            <w:tcW w:w="4704" w:type="dxa"/>
          </w:tcPr>
          <w:p w:rsidR="001963E2" w:rsidRPr="00F6548C" w:rsidRDefault="001963E2" w:rsidP="00151AA8">
            <w:pPr>
              <w:jc w:val="both"/>
            </w:pPr>
            <w:r>
              <w:t>None</w:t>
            </w:r>
          </w:p>
        </w:tc>
        <w:tc>
          <w:tcPr>
            <w:tcW w:w="1710" w:type="dxa"/>
            <w:gridSpan w:val="2"/>
          </w:tcPr>
          <w:p w:rsidR="001963E2" w:rsidRPr="00F6548C" w:rsidRDefault="001963E2" w:rsidP="00154313">
            <w:pPr>
              <w:jc w:val="both"/>
            </w:pPr>
          </w:p>
        </w:tc>
        <w:tc>
          <w:tcPr>
            <w:tcW w:w="1703" w:type="dxa"/>
          </w:tcPr>
          <w:p w:rsidR="001963E2" w:rsidRPr="00F6548C" w:rsidRDefault="001963E2" w:rsidP="00154313">
            <w:pPr>
              <w:jc w:val="both"/>
            </w:pPr>
            <w:r>
              <w:t>A</w:t>
            </w:r>
          </w:p>
        </w:tc>
        <w:tc>
          <w:tcPr>
            <w:tcW w:w="2533" w:type="dxa"/>
            <w:shd w:val="clear" w:color="auto" w:fill="B6DDE8" w:themeFill="accent5" w:themeFillTint="66"/>
          </w:tcPr>
          <w:p w:rsidR="001963E2" w:rsidRDefault="001963E2" w:rsidP="00154313">
            <w:pPr>
              <w:jc w:val="both"/>
            </w:pPr>
          </w:p>
        </w:tc>
      </w:tr>
      <w:tr w:rsidR="001963E2" w:rsidRPr="00F6548C" w:rsidTr="00BB0733">
        <w:trPr>
          <w:gridAfter w:val="4"/>
          <w:wAfter w:w="5946" w:type="dxa"/>
        </w:trPr>
        <w:tc>
          <w:tcPr>
            <w:tcW w:w="2334" w:type="dxa"/>
            <w:shd w:val="clear" w:color="auto" w:fill="C6D9F1" w:themeFill="text2" w:themeFillTint="33"/>
          </w:tcPr>
          <w:p w:rsidR="001963E2" w:rsidRPr="00F6548C" w:rsidRDefault="001963E2" w:rsidP="00154313">
            <w:pPr>
              <w:jc w:val="both"/>
            </w:pPr>
          </w:p>
        </w:tc>
        <w:tc>
          <w:tcPr>
            <w:tcW w:w="4704" w:type="dxa"/>
            <w:shd w:val="clear" w:color="auto" w:fill="C6D9F1" w:themeFill="text2" w:themeFillTint="33"/>
          </w:tcPr>
          <w:p w:rsidR="001963E2" w:rsidRPr="00F6548C" w:rsidRDefault="001963E2" w:rsidP="00154313">
            <w:pPr>
              <w:jc w:val="both"/>
            </w:pPr>
          </w:p>
        </w:tc>
      </w:tr>
      <w:tr w:rsidR="001963E2" w:rsidRPr="00F6548C" w:rsidTr="00BB0733">
        <w:trPr>
          <w:gridAfter w:val="3"/>
          <w:wAfter w:w="5584" w:type="dxa"/>
        </w:trPr>
        <w:tc>
          <w:tcPr>
            <w:tcW w:w="2334" w:type="dxa"/>
            <w:shd w:val="clear" w:color="auto" w:fill="auto"/>
            <w:vAlign w:val="center"/>
          </w:tcPr>
          <w:p w:rsidR="001963E2" w:rsidRPr="00A2601B" w:rsidRDefault="001963E2" w:rsidP="007360EF">
            <w:pPr>
              <w:jc w:val="center"/>
              <w:rPr>
                <w:b/>
              </w:rPr>
            </w:pPr>
            <w:r w:rsidRPr="00A2601B">
              <w:rPr>
                <w:b/>
              </w:rPr>
              <w:t>Provisional Assessment of CCM’s Compliance</w:t>
            </w:r>
          </w:p>
        </w:tc>
        <w:tc>
          <w:tcPr>
            <w:tcW w:w="4704" w:type="dxa"/>
            <w:shd w:val="clear" w:color="auto" w:fill="FDE9D9" w:themeFill="accent6" w:themeFillTint="33"/>
          </w:tcPr>
          <w:p w:rsidR="001963E2" w:rsidRDefault="001963E2" w:rsidP="00154313">
            <w:pPr>
              <w:jc w:val="both"/>
              <w:rPr>
                <w:b/>
                <w:i/>
              </w:rPr>
            </w:pPr>
          </w:p>
          <w:p w:rsidR="001963E2" w:rsidRPr="00A2601B" w:rsidRDefault="001963E2" w:rsidP="00154313">
            <w:pPr>
              <w:jc w:val="both"/>
              <w:rPr>
                <w:b/>
                <w:i/>
              </w:rPr>
            </w:pPr>
            <w:r>
              <w:rPr>
                <w:b/>
                <w:i/>
              </w:rPr>
              <w:t>Compliance Review</w:t>
            </w:r>
          </w:p>
        </w:tc>
        <w:tc>
          <w:tcPr>
            <w:tcW w:w="362" w:type="dxa"/>
            <w:shd w:val="clear" w:color="auto" w:fill="FDE9D9" w:themeFill="accent6" w:themeFillTint="33"/>
          </w:tcPr>
          <w:p w:rsidR="001963E2" w:rsidRDefault="001963E2" w:rsidP="00154313">
            <w:pPr>
              <w:jc w:val="both"/>
              <w:rPr>
                <w:b/>
                <w:i/>
              </w:rPr>
            </w:pPr>
          </w:p>
        </w:tc>
      </w:tr>
    </w:tbl>
    <w:p w:rsidR="00410E8A" w:rsidRPr="00037D97" w:rsidRDefault="00410E8A" w:rsidP="002773F6">
      <w:pPr>
        <w:rPr>
          <w:b/>
          <w:sz w:val="24"/>
        </w:rPr>
      </w:pPr>
    </w:p>
    <w:sectPr w:rsidR="00410E8A" w:rsidRPr="00037D97" w:rsidSect="00373BB3">
      <w:pgSz w:w="15840" w:h="12240" w:orient="landscape"/>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16C" w:rsidRDefault="0070416C" w:rsidP="00A72D72">
      <w:pPr>
        <w:spacing w:after="0" w:line="240" w:lineRule="auto"/>
      </w:pPr>
      <w:r>
        <w:separator/>
      </w:r>
    </w:p>
  </w:endnote>
  <w:endnote w:type="continuationSeparator" w:id="0">
    <w:p w:rsidR="0070416C" w:rsidRDefault="0070416C" w:rsidP="00A72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16C" w:rsidRDefault="0070416C" w:rsidP="00A72D72">
      <w:pPr>
        <w:spacing w:after="0" w:line="240" w:lineRule="auto"/>
      </w:pPr>
      <w:r>
        <w:separator/>
      </w:r>
    </w:p>
  </w:footnote>
  <w:footnote w:type="continuationSeparator" w:id="0">
    <w:p w:rsidR="0070416C" w:rsidRDefault="0070416C" w:rsidP="00A72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4509"/>
    <w:multiLevelType w:val="hybridMultilevel"/>
    <w:tmpl w:val="6782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C0546"/>
    <w:multiLevelType w:val="hybridMultilevel"/>
    <w:tmpl w:val="E2A6A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75404"/>
    <w:multiLevelType w:val="hybridMultilevel"/>
    <w:tmpl w:val="AD52B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5264F"/>
    <w:multiLevelType w:val="hybridMultilevel"/>
    <w:tmpl w:val="197AA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52A37"/>
    <w:multiLevelType w:val="hybridMultilevel"/>
    <w:tmpl w:val="6100B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1F68E3"/>
    <w:multiLevelType w:val="hybridMultilevel"/>
    <w:tmpl w:val="1C228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4628E6"/>
    <w:multiLevelType w:val="hybridMultilevel"/>
    <w:tmpl w:val="9ABE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0704F7"/>
    <w:multiLevelType w:val="hybridMultilevel"/>
    <w:tmpl w:val="4E4C1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74697E"/>
    <w:multiLevelType w:val="hybridMultilevel"/>
    <w:tmpl w:val="A8FE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0650D9"/>
    <w:multiLevelType w:val="hybridMultilevel"/>
    <w:tmpl w:val="61D80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6E044B"/>
    <w:multiLevelType w:val="hybridMultilevel"/>
    <w:tmpl w:val="FE46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415902"/>
    <w:multiLevelType w:val="hybridMultilevel"/>
    <w:tmpl w:val="94DC2966"/>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Arial"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Arial"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Arial" w:hint="default"/>
      </w:rPr>
    </w:lvl>
    <w:lvl w:ilvl="8" w:tplc="04090005" w:tentative="1">
      <w:start w:val="1"/>
      <w:numFmt w:val="bullet"/>
      <w:lvlText w:val=""/>
      <w:lvlJc w:val="left"/>
      <w:pPr>
        <w:ind w:left="6490" w:hanging="360"/>
      </w:pPr>
      <w:rPr>
        <w:rFonts w:ascii="Wingdings" w:hAnsi="Wingdings" w:hint="default"/>
      </w:rPr>
    </w:lvl>
  </w:abstractNum>
  <w:abstractNum w:abstractNumId="12">
    <w:nsid w:val="4C2E3353"/>
    <w:multiLevelType w:val="hybridMultilevel"/>
    <w:tmpl w:val="7786B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D8448A"/>
    <w:multiLevelType w:val="hybridMultilevel"/>
    <w:tmpl w:val="A274E9EC"/>
    <w:lvl w:ilvl="0" w:tplc="236685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DD7A80"/>
    <w:multiLevelType w:val="hybridMultilevel"/>
    <w:tmpl w:val="C652D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DD12D9"/>
    <w:multiLevelType w:val="hybridMultilevel"/>
    <w:tmpl w:val="AA96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2A0E4D"/>
    <w:multiLevelType w:val="hybridMultilevel"/>
    <w:tmpl w:val="44C8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825AC4"/>
    <w:multiLevelType w:val="hybridMultilevel"/>
    <w:tmpl w:val="B002E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907C48"/>
    <w:multiLevelType w:val="hybridMultilevel"/>
    <w:tmpl w:val="8E0E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1B24CD"/>
    <w:multiLevelType w:val="hybridMultilevel"/>
    <w:tmpl w:val="7AA20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316D54"/>
    <w:multiLevelType w:val="hybridMultilevel"/>
    <w:tmpl w:val="07B8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9130CB"/>
    <w:multiLevelType w:val="hybridMultilevel"/>
    <w:tmpl w:val="2FFE8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3"/>
  </w:num>
  <w:num w:numId="4">
    <w:abstractNumId w:val="17"/>
  </w:num>
  <w:num w:numId="5">
    <w:abstractNumId w:val="11"/>
  </w:num>
  <w:num w:numId="6">
    <w:abstractNumId w:val="2"/>
  </w:num>
  <w:num w:numId="7">
    <w:abstractNumId w:val="14"/>
  </w:num>
  <w:num w:numId="8">
    <w:abstractNumId w:val="0"/>
  </w:num>
  <w:num w:numId="9">
    <w:abstractNumId w:val="4"/>
  </w:num>
  <w:num w:numId="10">
    <w:abstractNumId w:val="10"/>
  </w:num>
  <w:num w:numId="11">
    <w:abstractNumId w:val="3"/>
  </w:num>
  <w:num w:numId="12">
    <w:abstractNumId w:val="21"/>
  </w:num>
  <w:num w:numId="13">
    <w:abstractNumId w:val="6"/>
  </w:num>
  <w:num w:numId="14">
    <w:abstractNumId w:val="19"/>
  </w:num>
  <w:num w:numId="15">
    <w:abstractNumId w:val="12"/>
  </w:num>
  <w:num w:numId="16">
    <w:abstractNumId w:val="18"/>
  </w:num>
  <w:num w:numId="17">
    <w:abstractNumId w:val="8"/>
  </w:num>
  <w:num w:numId="18">
    <w:abstractNumId w:val="5"/>
  </w:num>
  <w:num w:numId="19">
    <w:abstractNumId w:val="15"/>
  </w:num>
  <w:num w:numId="20">
    <w:abstractNumId w:val="16"/>
  </w:num>
  <w:num w:numId="21">
    <w:abstractNumId w:val="2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9D1"/>
    <w:rsid w:val="000022D4"/>
    <w:rsid w:val="00017956"/>
    <w:rsid w:val="000311F7"/>
    <w:rsid w:val="00037D97"/>
    <w:rsid w:val="000849BA"/>
    <w:rsid w:val="000B48B3"/>
    <w:rsid w:val="000C31AC"/>
    <w:rsid w:val="000C74A6"/>
    <w:rsid w:val="000E4665"/>
    <w:rsid w:val="00102FE0"/>
    <w:rsid w:val="00105F06"/>
    <w:rsid w:val="00151AA8"/>
    <w:rsid w:val="00154313"/>
    <w:rsid w:val="00191CA0"/>
    <w:rsid w:val="001963E2"/>
    <w:rsid w:val="001A4B29"/>
    <w:rsid w:val="001B1D13"/>
    <w:rsid w:val="001B4D2C"/>
    <w:rsid w:val="001B5C0E"/>
    <w:rsid w:val="001C3E12"/>
    <w:rsid w:val="0022059E"/>
    <w:rsid w:val="002320A2"/>
    <w:rsid w:val="00235EDC"/>
    <w:rsid w:val="00236138"/>
    <w:rsid w:val="002517B4"/>
    <w:rsid w:val="00264D4F"/>
    <w:rsid w:val="0027354C"/>
    <w:rsid w:val="002773F6"/>
    <w:rsid w:val="002B3F02"/>
    <w:rsid w:val="002F36CA"/>
    <w:rsid w:val="002F56AC"/>
    <w:rsid w:val="002F65D3"/>
    <w:rsid w:val="00352BD8"/>
    <w:rsid w:val="003635DF"/>
    <w:rsid w:val="00373BB3"/>
    <w:rsid w:val="003B019D"/>
    <w:rsid w:val="003B655E"/>
    <w:rsid w:val="003D035C"/>
    <w:rsid w:val="003E0C00"/>
    <w:rsid w:val="003F036D"/>
    <w:rsid w:val="00410E8A"/>
    <w:rsid w:val="0041706D"/>
    <w:rsid w:val="004772D1"/>
    <w:rsid w:val="004803BD"/>
    <w:rsid w:val="004D11D9"/>
    <w:rsid w:val="004E46CE"/>
    <w:rsid w:val="004F0E5B"/>
    <w:rsid w:val="00514DE9"/>
    <w:rsid w:val="00544F91"/>
    <w:rsid w:val="00561A66"/>
    <w:rsid w:val="00567DFD"/>
    <w:rsid w:val="00586590"/>
    <w:rsid w:val="005A268D"/>
    <w:rsid w:val="005B5855"/>
    <w:rsid w:val="005D4C04"/>
    <w:rsid w:val="006643CF"/>
    <w:rsid w:val="006761E2"/>
    <w:rsid w:val="006A6541"/>
    <w:rsid w:val="006C1378"/>
    <w:rsid w:val="006D3B9A"/>
    <w:rsid w:val="006F7E63"/>
    <w:rsid w:val="0070416C"/>
    <w:rsid w:val="007360EF"/>
    <w:rsid w:val="0074307F"/>
    <w:rsid w:val="00767A05"/>
    <w:rsid w:val="0077406E"/>
    <w:rsid w:val="007A065C"/>
    <w:rsid w:val="007D1D4E"/>
    <w:rsid w:val="007E69A7"/>
    <w:rsid w:val="008012EC"/>
    <w:rsid w:val="00801419"/>
    <w:rsid w:val="00801B84"/>
    <w:rsid w:val="00807433"/>
    <w:rsid w:val="00825696"/>
    <w:rsid w:val="00836B9F"/>
    <w:rsid w:val="0086094A"/>
    <w:rsid w:val="00877077"/>
    <w:rsid w:val="008A2B9A"/>
    <w:rsid w:val="009152F5"/>
    <w:rsid w:val="0091600A"/>
    <w:rsid w:val="0092090B"/>
    <w:rsid w:val="009274E1"/>
    <w:rsid w:val="0094087F"/>
    <w:rsid w:val="009732BC"/>
    <w:rsid w:val="009D59D1"/>
    <w:rsid w:val="00A2601B"/>
    <w:rsid w:val="00A72D72"/>
    <w:rsid w:val="00A96126"/>
    <w:rsid w:val="00B043F3"/>
    <w:rsid w:val="00B1547E"/>
    <w:rsid w:val="00B17DDF"/>
    <w:rsid w:val="00B40A2A"/>
    <w:rsid w:val="00B41BB0"/>
    <w:rsid w:val="00B42ABA"/>
    <w:rsid w:val="00B469F3"/>
    <w:rsid w:val="00B512C3"/>
    <w:rsid w:val="00B66BB7"/>
    <w:rsid w:val="00B7400B"/>
    <w:rsid w:val="00B85274"/>
    <w:rsid w:val="00B92654"/>
    <w:rsid w:val="00BB0733"/>
    <w:rsid w:val="00BD3B50"/>
    <w:rsid w:val="00C32845"/>
    <w:rsid w:val="00C80C2F"/>
    <w:rsid w:val="00C82546"/>
    <w:rsid w:val="00C83ED5"/>
    <w:rsid w:val="00C9297B"/>
    <w:rsid w:val="00CA7038"/>
    <w:rsid w:val="00CF5385"/>
    <w:rsid w:val="00CF5894"/>
    <w:rsid w:val="00D24302"/>
    <w:rsid w:val="00D34245"/>
    <w:rsid w:val="00D45C0E"/>
    <w:rsid w:val="00D52063"/>
    <w:rsid w:val="00DA7F02"/>
    <w:rsid w:val="00E20A51"/>
    <w:rsid w:val="00E24461"/>
    <w:rsid w:val="00E40388"/>
    <w:rsid w:val="00E558FB"/>
    <w:rsid w:val="00E73E41"/>
    <w:rsid w:val="00E76E4E"/>
    <w:rsid w:val="00E966E8"/>
    <w:rsid w:val="00EC2636"/>
    <w:rsid w:val="00EC7499"/>
    <w:rsid w:val="00F542FE"/>
    <w:rsid w:val="00F63E23"/>
    <w:rsid w:val="00F654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D59D1"/>
    <w:pPr>
      <w:ind w:left="720"/>
      <w:contextualSpacing/>
    </w:pPr>
  </w:style>
  <w:style w:type="table" w:styleId="TableGrid">
    <w:name w:val="Table Grid"/>
    <w:basedOn w:val="TableNormal"/>
    <w:uiPriority w:val="59"/>
    <w:rsid w:val="00DA7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72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D72"/>
  </w:style>
  <w:style w:type="paragraph" w:styleId="Footer">
    <w:name w:val="footer"/>
    <w:basedOn w:val="Normal"/>
    <w:link w:val="FooterChar"/>
    <w:uiPriority w:val="99"/>
    <w:unhideWhenUsed/>
    <w:rsid w:val="00A72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D72"/>
  </w:style>
  <w:style w:type="paragraph" w:styleId="BalloonText">
    <w:name w:val="Balloon Text"/>
    <w:basedOn w:val="Normal"/>
    <w:link w:val="BalloonTextChar"/>
    <w:uiPriority w:val="99"/>
    <w:semiHidden/>
    <w:unhideWhenUsed/>
    <w:rsid w:val="00A72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D72"/>
    <w:rPr>
      <w:rFonts w:ascii="Tahoma" w:hAnsi="Tahoma" w:cs="Tahoma"/>
      <w:sz w:val="16"/>
      <w:szCs w:val="16"/>
    </w:rPr>
  </w:style>
  <w:style w:type="character" w:styleId="CommentReference">
    <w:name w:val="annotation reference"/>
    <w:uiPriority w:val="99"/>
    <w:semiHidden/>
    <w:rsid w:val="000849BA"/>
    <w:rPr>
      <w:rFonts w:cs="Times New Roman"/>
      <w:sz w:val="16"/>
      <w:szCs w:val="16"/>
    </w:rPr>
  </w:style>
  <w:style w:type="paragraph" w:styleId="CommentText">
    <w:name w:val="annotation text"/>
    <w:basedOn w:val="Normal"/>
    <w:link w:val="CommentTextChar"/>
    <w:uiPriority w:val="99"/>
    <w:semiHidden/>
    <w:rsid w:val="000849BA"/>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0849BA"/>
    <w:rPr>
      <w:rFonts w:ascii="Calibri" w:eastAsia="Calibri" w:hAnsi="Calibri" w:cs="Times New Roman"/>
      <w:sz w:val="20"/>
      <w:szCs w:val="20"/>
    </w:rPr>
  </w:style>
  <w:style w:type="paragraph" w:customStyle="1" w:styleId="Default">
    <w:name w:val="Default"/>
    <w:rsid w:val="00235EDC"/>
    <w:pPr>
      <w:autoSpaceDE w:val="0"/>
      <w:autoSpaceDN w:val="0"/>
      <w:adjustRightInd w:val="0"/>
      <w:spacing w:after="0" w:line="240" w:lineRule="auto"/>
    </w:pPr>
    <w:rPr>
      <w:rFonts w:ascii="Times New Roman" w:eastAsia="Times New Roman" w:hAnsi="Times New Roman" w:cs="Times New Roman"/>
      <w:color w:val="000000"/>
      <w:sz w:val="24"/>
      <w:szCs w:val="24"/>
      <w:lang w:val="en-PH" w:eastAsia="en-P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D59D1"/>
    <w:pPr>
      <w:ind w:left="720"/>
      <w:contextualSpacing/>
    </w:pPr>
  </w:style>
  <w:style w:type="table" w:styleId="TableGrid">
    <w:name w:val="Table Grid"/>
    <w:basedOn w:val="TableNormal"/>
    <w:uiPriority w:val="59"/>
    <w:rsid w:val="00DA7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72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D72"/>
  </w:style>
  <w:style w:type="paragraph" w:styleId="Footer">
    <w:name w:val="footer"/>
    <w:basedOn w:val="Normal"/>
    <w:link w:val="FooterChar"/>
    <w:uiPriority w:val="99"/>
    <w:unhideWhenUsed/>
    <w:rsid w:val="00A72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D72"/>
  </w:style>
  <w:style w:type="paragraph" w:styleId="BalloonText">
    <w:name w:val="Balloon Text"/>
    <w:basedOn w:val="Normal"/>
    <w:link w:val="BalloonTextChar"/>
    <w:uiPriority w:val="99"/>
    <w:semiHidden/>
    <w:unhideWhenUsed/>
    <w:rsid w:val="00A72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D72"/>
    <w:rPr>
      <w:rFonts w:ascii="Tahoma" w:hAnsi="Tahoma" w:cs="Tahoma"/>
      <w:sz w:val="16"/>
      <w:szCs w:val="16"/>
    </w:rPr>
  </w:style>
  <w:style w:type="character" w:styleId="CommentReference">
    <w:name w:val="annotation reference"/>
    <w:uiPriority w:val="99"/>
    <w:semiHidden/>
    <w:rsid w:val="000849BA"/>
    <w:rPr>
      <w:rFonts w:cs="Times New Roman"/>
      <w:sz w:val="16"/>
      <w:szCs w:val="16"/>
    </w:rPr>
  </w:style>
  <w:style w:type="paragraph" w:styleId="CommentText">
    <w:name w:val="annotation text"/>
    <w:basedOn w:val="Normal"/>
    <w:link w:val="CommentTextChar"/>
    <w:uiPriority w:val="99"/>
    <w:semiHidden/>
    <w:rsid w:val="000849BA"/>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0849BA"/>
    <w:rPr>
      <w:rFonts w:ascii="Calibri" w:eastAsia="Calibri" w:hAnsi="Calibri" w:cs="Times New Roman"/>
      <w:sz w:val="20"/>
      <w:szCs w:val="20"/>
    </w:rPr>
  </w:style>
  <w:style w:type="paragraph" w:customStyle="1" w:styleId="Default">
    <w:name w:val="Default"/>
    <w:rsid w:val="00235EDC"/>
    <w:pPr>
      <w:autoSpaceDE w:val="0"/>
      <w:autoSpaceDN w:val="0"/>
      <w:adjustRightInd w:val="0"/>
      <w:spacing w:after="0" w:line="240" w:lineRule="auto"/>
    </w:pPr>
    <w:rPr>
      <w:rFonts w:ascii="Times New Roman" w:eastAsia="Times New Roman" w:hAnsi="Times New Roman" w:cs="Times New Roman"/>
      <w:color w:val="000000"/>
      <w:sz w:val="24"/>
      <w:szCs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289FF-605F-4536-A4C6-EDF31EB32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RheaC</dc:creator>
  <cp:lastModifiedBy>Ana Taholo</cp:lastModifiedBy>
  <cp:revision>5</cp:revision>
  <dcterms:created xsi:type="dcterms:W3CDTF">2013-07-30T01:02:00Z</dcterms:created>
  <dcterms:modified xsi:type="dcterms:W3CDTF">2013-07-30T01:14:00Z</dcterms:modified>
</cp:coreProperties>
</file>