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CC" w:rsidRDefault="00F17CCC" w:rsidP="00037D97">
      <w:pPr>
        <w:spacing w:after="0" w:line="240" w:lineRule="auto"/>
        <w:jc w:val="center"/>
        <w:rPr>
          <w:rFonts w:ascii="Arial" w:hAnsi="Arial"/>
          <w:b/>
          <w:sz w:val="24"/>
        </w:rPr>
      </w:pPr>
      <w:r>
        <w:rPr>
          <w:b/>
          <w:sz w:val="28"/>
        </w:rPr>
        <w:t>KOREA</w:t>
      </w:r>
      <w:r w:rsidRPr="00F6548C">
        <w:rPr>
          <w:rFonts w:ascii="Arial" w:hAnsi="Arial"/>
          <w:b/>
          <w:sz w:val="24"/>
        </w:rPr>
        <w:t xml:space="preserve"> </w:t>
      </w:r>
    </w:p>
    <w:p w:rsidR="00F17CCC" w:rsidRDefault="00F17CCC" w:rsidP="00F17CCC">
      <w:pPr>
        <w:spacing w:after="0"/>
        <w:jc w:val="center"/>
        <w:rPr>
          <w:b/>
        </w:rPr>
      </w:pPr>
      <w:r>
        <w:rPr>
          <w:rFonts w:ascii="Arial" w:hAnsi="Arial"/>
          <w:b/>
          <w:sz w:val="24"/>
        </w:rPr>
        <w:t xml:space="preserve"> </w:t>
      </w:r>
      <w:r w:rsidRPr="00761BF6">
        <w:rPr>
          <w:b/>
        </w:rPr>
        <w:t xml:space="preserve">Paragraph 21 of CMM 2012-02 Compliance Monitoring Scheme states "Each CCM shall include, in its Part 2 Annual Report, any actions it has taken to address its non-compliance in the previous year.  </w:t>
      </w:r>
      <w:r>
        <w:rPr>
          <w:b/>
        </w:rPr>
        <w:t xml:space="preserve">  </w:t>
      </w:r>
      <w:r w:rsidRPr="00761BF6">
        <w:rPr>
          <w:b/>
        </w:rPr>
        <w:t>The list below shows the</w:t>
      </w:r>
      <w:r>
        <w:rPr>
          <w:b/>
        </w:rPr>
        <w:t xml:space="preserve"> 2012 CMR</w:t>
      </w:r>
      <w:r w:rsidRPr="00761BF6">
        <w:rPr>
          <w:b/>
        </w:rPr>
        <w:t xml:space="preserve"> issues that were highlighted in TCC8s provisional CMR report for </w:t>
      </w:r>
      <w:r>
        <w:rPr>
          <w:b/>
        </w:rPr>
        <w:t xml:space="preserve">Japan </w:t>
      </w:r>
      <w:r w:rsidRPr="00761BF6">
        <w:rPr>
          <w:b/>
        </w:rPr>
        <w:t>- covering 2011 activities</w:t>
      </w:r>
    </w:p>
    <w:p w:rsidR="00F17CCC" w:rsidRPr="00761BF6" w:rsidRDefault="00F17CCC" w:rsidP="00F17CCC">
      <w:pPr>
        <w:jc w:val="center"/>
        <w:rPr>
          <w:b/>
          <w:i/>
          <w:sz w:val="20"/>
          <w:szCs w:val="20"/>
        </w:rPr>
      </w:pPr>
      <w:r w:rsidRPr="00761BF6">
        <w:rPr>
          <w:b/>
          <w:i/>
          <w:sz w:val="20"/>
          <w:szCs w:val="20"/>
        </w:rPr>
        <w:t xml:space="preserve">Key:  A = Compliant, </w:t>
      </w:r>
      <w:r>
        <w:rPr>
          <w:b/>
          <w:i/>
          <w:sz w:val="20"/>
          <w:szCs w:val="20"/>
        </w:rPr>
        <w:t>B = Not Applicable, C = Compliance</w:t>
      </w:r>
      <w:r w:rsidRPr="00761BF6">
        <w:rPr>
          <w:b/>
          <w:i/>
          <w:sz w:val="20"/>
          <w:szCs w:val="20"/>
        </w:rPr>
        <w:t xml:space="preserve"> Review</w:t>
      </w:r>
    </w:p>
    <w:tbl>
      <w:tblPr>
        <w:tblStyle w:val="TableGrid"/>
        <w:tblW w:w="0" w:type="auto"/>
        <w:tblLook w:val="04A0" w:firstRow="1" w:lastRow="0" w:firstColumn="1" w:lastColumn="0" w:noHBand="0" w:noVBand="1"/>
      </w:tblPr>
      <w:tblGrid>
        <w:gridCol w:w="2314"/>
        <w:gridCol w:w="2481"/>
        <w:gridCol w:w="387"/>
        <w:gridCol w:w="2094"/>
        <w:gridCol w:w="660"/>
        <w:gridCol w:w="2481"/>
        <w:gridCol w:w="2481"/>
      </w:tblGrid>
      <w:tr w:rsidR="00F17CCC" w:rsidRPr="00F6548C" w:rsidTr="002D7B20">
        <w:tc>
          <w:tcPr>
            <w:tcW w:w="2314" w:type="dxa"/>
            <w:shd w:val="clear" w:color="auto" w:fill="C6D9F1" w:themeFill="text2" w:themeFillTint="33"/>
          </w:tcPr>
          <w:p w:rsidR="00F17CCC" w:rsidRPr="00F6548C" w:rsidRDefault="00F17CCC" w:rsidP="00154313">
            <w:pPr>
              <w:jc w:val="both"/>
              <w:rPr>
                <w:b/>
              </w:rPr>
            </w:pPr>
            <w:r w:rsidRPr="00F6548C">
              <w:rPr>
                <w:b/>
              </w:rPr>
              <w:t>Category</w:t>
            </w:r>
          </w:p>
        </w:tc>
        <w:tc>
          <w:tcPr>
            <w:tcW w:w="2868" w:type="dxa"/>
            <w:gridSpan w:val="2"/>
            <w:shd w:val="clear" w:color="auto" w:fill="C6D9F1" w:themeFill="text2" w:themeFillTint="33"/>
          </w:tcPr>
          <w:p w:rsidR="00F17CCC" w:rsidRPr="00F6548C" w:rsidRDefault="00F17CCC" w:rsidP="007360EF">
            <w:pPr>
              <w:rPr>
                <w:b/>
              </w:rPr>
            </w:pPr>
            <w:r w:rsidRPr="00F6548C">
              <w:rPr>
                <w:b/>
              </w:rPr>
              <w:t>Any issues identified or additional information required for 2011?</w:t>
            </w:r>
          </w:p>
        </w:tc>
        <w:tc>
          <w:tcPr>
            <w:tcW w:w="2754" w:type="dxa"/>
            <w:gridSpan w:val="2"/>
            <w:shd w:val="clear" w:color="auto" w:fill="C6D9F1" w:themeFill="text2" w:themeFillTint="33"/>
          </w:tcPr>
          <w:p w:rsidR="00F17CCC" w:rsidRPr="00F6548C" w:rsidRDefault="00F17CCC" w:rsidP="007360EF">
            <w:pPr>
              <w:rPr>
                <w:b/>
              </w:rPr>
            </w:pPr>
            <w:r w:rsidRPr="00F6548C">
              <w:rPr>
                <w:b/>
              </w:rPr>
              <w:t>CCM Response (</w:t>
            </w:r>
            <w:r w:rsidRPr="00F6548C">
              <w:rPr>
                <w:b/>
                <w:i/>
              </w:rPr>
              <w:t>if none received to date</w:t>
            </w:r>
            <w:r w:rsidRPr="00F6548C">
              <w:rPr>
                <w:b/>
              </w:rPr>
              <w:t>)</w:t>
            </w:r>
          </w:p>
        </w:tc>
        <w:tc>
          <w:tcPr>
            <w:tcW w:w="2481" w:type="dxa"/>
            <w:shd w:val="clear" w:color="auto" w:fill="C6D9F1" w:themeFill="text2" w:themeFillTint="33"/>
          </w:tcPr>
          <w:p w:rsidR="00F17CCC" w:rsidRPr="00F6548C" w:rsidRDefault="00F17CCC" w:rsidP="007360EF">
            <w:pPr>
              <w:rPr>
                <w:b/>
              </w:rPr>
            </w:pPr>
            <w:r>
              <w:rPr>
                <w:b/>
              </w:rPr>
              <w:t>Compliance or Implementation Status</w:t>
            </w:r>
          </w:p>
        </w:tc>
        <w:tc>
          <w:tcPr>
            <w:tcW w:w="2481" w:type="dxa"/>
            <w:shd w:val="clear" w:color="auto" w:fill="C6D9F1" w:themeFill="text2" w:themeFillTint="33"/>
          </w:tcPr>
          <w:p w:rsidR="00F17CCC" w:rsidRDefault="00F17CCC" w:rsidP="00F17CCC">
            <w:pPr>
              <w:rPr>
                <w:b/>
              </w:rPr>
            </w:pPr>
            <w:r>
              <w:rPr>
                <w:b/>
              </w:rPr>
              <w:t xml:space="preserve">AR Part 2 2012 CCM Reponses   </w:t>
            </w:r>
          </w:p>
          <w:p w:rsidR="00F17CCC" w:rsidRDefault="00F17CCC" w:rsidP="007360EF">
            <w:pPr>
              <w:rPr>
                <w:b/>
              </w:rPr>
            </w:pPr>
          </w:p>
        </w:tc>
      </w:tr>
      <w:tr w:rsidR="00F17CCC" w:rsidRPr="00F6548C" w:rsidTr="00F17CCC">
        <w:tc>
          <w:tcPr>
            <w:tcW w:w="2314" w:type="dxa"/>
            <w:shd w:val="clear" w:color="auto" w:fill="auto"/>
          </w:tcPr>
          <w:p w:rsidR="00F17CCC" w:rsidRPr="00F6548C" w:rsidRDefault="00F17CCC" w:rsidP="003B019D">
            <w:pPr>
              <w:pStyle w:val="ListParagraph"/>
              <w:numPr>
                <w:ilvl w:val="0"/>
                <w:numId w:val="3"/>
              </w:numPr>
              <w:ind w:left="360" w:hanging="360"/>
              <w:rPr>
                <w:b/>
              </w:rPr>
            </w:pPr>
            <w:r w:rsidRPr="00F6548C">
              <w:rPr>
                <w:b/>
              </w:rPr>
              <w:t>Catch and effort limits</w:t>
            </w:r>
          </w:p>
        </w:tc>
        <w:tc>
          <w:tcPr>
            <w:tcW w:w="2868" w:type="dxa"/>
            <w:gridSpan w:val="2"/>
          </w:tcPr>
          <w:p w:rsidR="00F17CCC" w:rsidRPr="00AA1206" w:rsidRDefault="00F17CCC" w:rsidP="00154313">
            <w:pPr>
              <w:jc w:val="both"/>
              <w:rPr>
                <w:i/>
              </w:rPr>
            </w:pPr>
            <w:r w:rsidRPr="00AA1206">
              <w:rPr>
                <w:i/>
              </w:rPr>
              <w:t xml:space="preserve">2008-01 </w:t>
            </w:r>
            <w:proofErr w:type="spellStart"/>
            <w:r w:rsidRPr="00AA1206">
              <w:rPr>
                <w:i/>
              </w:rPr>
              <w:t>Bigeye</w:t>
            </w:r>
            <w:proofErr w:type="spellEnd"/>
            <w:r w:rsidRPr="00AA1206">
              <w:rPr>
                <w:i/>
              </w:rPr>
              <w:t xml:space="preserve"> &amp; </w:t>
            </w:r>
            <w:proofErr w:type="spellStart"/>
            <w:r w:rsidRPr="00AA1206">
              <w:rPr>
                <w:i/>
              </w:rPr>
              <w:t>Yellowfin</w:t>
            </w:r>
            <w:proofErr w:type="spellEnd"/>
            <w:r w:rsidRPr="00AA1206">
              <w:rPr>
                <w:i/>
              </w:rPr>
              <w:t xml:space="preserve"> </w:t>
            </w:r>
            <w:proofErr w:type="spellStart"/>
            <w:r w:rsidRPr="00AA1206">
              <w:rPr>
                <w:i/>
              </w:rPr>
              <w:t>para</w:t>
            </w:r>
            <w:proofErr w:type="spellEnd"/>
            <w:r w:rsidRPr="00AA1206">
              <w:rPr>
                <w:i/>
              </w:rPr>
              <w:t xml:space="preserve"> 33:  CCMs with &gt;2000T LL catch of BET in 2004 to implement 30% reduction in 2011 of the catch specified in Attachment F</w:t>
            </w:r>
          </w:p>
          <w:p w:rsidR="00F17CCC" w:rsidRPr="003832C5" w:rsidRDefault="00F17CCC" w:rsidP="00F17CCC">
            <w:pPr>
              <w:jc w:val="both"/>
            </w:pPr>
            <w:r w:rsidRPr="003832C5">
              <w:t xml:space="preserve">Potential implementation or compliance issue: 2011 </w:t>
            </w:r>
            <w:proofErr w:type="spellStart"/>
            <w:r w:rsidRPr="003832C5">
              <w:t>bigeye</w:t>
            </w:r>
            <w:proofErr w:type="spellEnd"/>
            <w:r w:rsidRPr="003832C5">
              <w:t xml:space="preserve"> </w:t>
            </w:r>
            <w:proofErr w:type="spellStart"/>
            <w:r w:rsidRPr="003832C5">
              <w:t>longline</w:t>
            </w:r>
            <w:proofErr w:type="spellEnd"/>
            <w:r w:rsidRPr="003832C5">
              <w:t xml:space="preserve"> catch estimate for appears to exceed the limit for 2011.</w:t>
            </w:r>
          </w:p>
          <w:p w:rsidR="00F17CCC" w:rsidRPr="003832C5" w:rsidRDefault="00F17CCC" w:rsidP="00F17CCC">
            <w:pPr>
              <w:pStyle w:val="ListParagraph"/>
              <w:numPr>
                <w:ilvl w:val="0"/>
                <w:numId w:val="12"/>
              </w:numPr>
              <w:ind w:left="342" w:hanging="342"/>
              <w:jc w:val="both"/>
            </w:pPr>
            <w:r w:rsidRPr="003832C5">
              <w:rPr>
                <w:lang w:eastAsia="ko-KR"/>
              </w:rPr>
              <w:t>T</w:t>
            </w:r>
            <w:r w:rsidRPr="003832C5">
              <w:rPr>
                <w:rFonts w:hint="eastAsia"/>
                <w:lang w:eastAsia="ko-KR"/>
              </w:rPr>
              <w:t xml:space="preserve">he catch data submitted to SPC was the preliminary estimated data based on raised data but will be updated when log sheet data coverage increases. </w:t>
            </w:r>
            <w:r w:rsidRPr="003832C5">
              <w:rPr>
                <w:lang w:eastAsia="ko-KR"/>
              </w:rPr>
              <w:t xml:space="preserve">  Accurate statistics</w:t>
            </w:r>
            <w:r w:rsidRPr="003832C5">
              <w:rPr>
                <w:rFonts w:hint="eastAsia"/>
                <w:lang w:eastAsia="ko-KR"/>
              </w:rPr>
              <w:t xml:space="preserve"> will be </w:t>
            </w:r>
            <w:r w:rsidRPr="003832C5">
              <w:rPr>
                <w:lang w:eastAsia="ko-KR"/>
              </w:rPr>
              <w:t>submitted after</w:t>
            </w:r>
            <w:r w:rsidRPr="003832C5">
              <w:rPr>
                <w:rFonts w:hint="eastAsia"/>
                <w:lang w:eastAsia="ko-KR"/>
              </w:rPr>
              <w:t xml:space="preserve"> complement the data collection rate.  </w:t>
            </w:r>
          </w:p>
          <w:p w:rsidR="00F17CCC" w:rsidRPr="00F6548C" w:rsidRDefault="00F17CCC" w:rsidP="00154313">
            <w:pPr>
              <w:jc w:val="both"/>
            </w:pPr>
          </w:p>
        </w:tc>
        <w:tc>
          <w:tcPr>
            <w:tcW w:w="2754" w:type="dxa"/>
            <w:gridSpan w:val="2"/>
          </w:tcPr>
          <w:p w:rsidR="00F17CCC" w:rsidRPr="00F6548C" w:rsidRDefault="00F17CCC" w:rsidP="00586ADC">
            <w:pPr>
              <w:jc w:val="both"/>
            </w:pPr>
            <w:r>
              <w:t xml:space="preserve">Korea advised that its scientific data exceeded the catch limit for </w:t>
            </w:r>
            <w:proofErr w:type="spellStart"/>
            <w:r>
              <w:t>bigeye</w:t>
            </w:r>
            <w:proofErr w:type="spellEnd"/>
            <w:r>
              <w:t xml:space="preserve"> but its official statistics does not, and that it will cross check those two data in the future.</w:t>
            </w:r>
          </w:p>
        </w:tc>
        <w:tc>
          <w:tcPr>
            <w:tcW w:w="2481" w:type="dxa"/>
          </w:tcPr>
          <w:p w:rsidR="00F17CCC" w:rsidRPr="00F6548C" w:rsidRDefault="00F17CCC" w:rsidP="00154313">
            <w:pPr>
              <w:jc w:val="both"/>
            </w:pPr>
            <w:r>
              <w:t>C</w:t>
            </w:r>
          </w:p>
        </w:tc>
        <w:tc>
          <w:tcPr>
            <w:tcW w:w="2481" w:type="dxa"/>
            <w:shd w:val="clear" w:color="auto" w:fill="C6D9F1" w:themeFill="text2" w:themeFillTint="33"/>
          </w:tcPr>
          <w:p w:rsidR="00F17CCC" w:rsidRDefault="00F17CCC" w:rsidP="00154313">
            <w:pPr>
              <w:jc w:val="both"/>
            </w:pPr>
            <w:r>
              <w:t xml:space="preserve">Korea exceeded its </w:t>
            </w:r>
            <w:proofErr w:type="spellStart"/>
            <w:r>
              <w:t>bigeye</w:t>
            </w:r>
            <w:proofErr w:type="spellEnd"/>
            <w:r>
              <w:t xml:space="preserve"> allocation by around 280 </w:t>
            </w:r>
            <w:proofErr w:type="spellStart"/>
            <w:r>
              <w:t>tonnes</w:t>
            </w:r>
            <w:proofErr w:type="spellEnd"/>
            <w:r>
              <w:t xml:space="preserve"> in 2011, but this excess happened due to the double counting of catches in the WCPFC-IATTC overlap Area.  To prevent this from happening again, Korean government notified the Secretariat that the </w:t>
            </w:r>
            <w:proofErr w:type="spellStart"/>
            <w:r>
              <w:t>bigeye</w:t>
            </w:r>
            <w:proofErr w:type="spellEnd"/>
            <w:r>
              <w:t xml:space="preserve"> catches by Korean-flagged in the overlap Area would be counted as those in the IATTC Area.  Also, the government revised the “Regulations on the Reporting of Fishing Operations in the Korean EEZ and Distant Waters” on March 24</w:t>
            </w:r>
            <w:r w:rsidRPr="00F17CCC">
              <w:rPr>
                <w:vertAlign w:val="superscript"/>
              </w:rPr>
              <w:t>th</w:t>
            </w:r>
            <w:r>
              <w:t xml:space="preserve">, 2013 to improve the reporting and monitoring of the </w:t>
            </w:r>
            <w:r>
              <w:lastRenderedPageBreak/>
              <w:t xml:space="preserve">catches of major species, including the </w:t>
            </w:r>
            <w:proofErr w:type="spellStart"/>
            <w:r>
              <w:t>bigeye</w:t>
            </w:r>
            <w:proofErr w:type="spellEnd"/>
            <w:r>
              <w:t xml:space="preserve">, under the </w:t>
            </w:r>
            <w:proofErr w:type="spellStart"/>
            <w:r>
              <w:t>pruview</w:t>
            </w:r>
            <w:proofErr w:type="spellEnd"/>
            <w:r>
              <w:t xml:space="preserve"> of RFMOs.  Under the revised Regulations, vessels operators are required to report the catches of these species to the authorities on a monthly basis and the authorities closely monitor the catch trends to ensure the catches are kept within allocated opportunities.  </w:t>
            </w:r>
            <w:bookmarkStart w:id="0" w:name="_GoBack"/>
            <w:bookmarkEnd w:id="0"/>
          </w:p>
        </w:tc>
      </w:tr>
      <w:tr w:rsidR="00F17CCC" w:rsidRPr="00F6548C" w:rsidTr="00F17CCC">
        <w:tc>
          <w:tcPr>
            <w:tcW w:w="2314" w:type="dxa"/>
            <w:shd w:val="clear" w:color="auto" w:fill="auto"/>
          </w:tcPr>
          <w:p w:rsidR="00F17CCC" w:rsidRPr="00F6548C" w:rsidRDefault="00F17CCC" w:rsidP="003B019D">
            <w:pPr>
              <w:pStyle w:val="ListParagraph"/>
              <w:numPr>
                <w:ilvl w:val="0"/>
                <w:numId w:val="3"/>
              </w:numPr>
              <w:ind w:left="360" w:hanging="360"/>
              <w:rPr>
                <w:b/>
              </w:rPr>
            </w:pPr>
            <w:r w:rsidRPr="00F6548C">
              <w:rPr>
                <w:b/>
              </w:rPr>
              <w:lastRenderedPageBreak/>
              <w:t>Catch and effort reporting</w:t>
            </w:r>
          </w:p>
        </w:tc>
        <w:tc>
          <w:tcPr>
            <w:tcW w:w="2868" w:type="dxa"/>
            <w:gridSpan w:val="2"/>
          </w:tcPr>
          <w:p w:rsidR="00F17CCC" w:rsidRPr="00F6548C" w:rsidRDefault="00F17CCC" w:rsidP="00570058">
            <w:pPr>
              <w:jc w:val="both"/>
            </w:pPr>
            <w:r>
              <w:t>None</w:t>
            </w:r>
          </w:p>
        </w:tc>
        <w:tc>
          <w:tcPr>
            <w:tcW w:w="2754" w:type="dxa"/>
            <w:gridSpan w:val="2"/>
          </w:tcPr>
          <w:p w:rsidR="00F17CCC" w:rsidRPr="00F6548C" w:rsidRDefault="00F17CCC" w:rsidP="00154313">
            <w:pPr>
              <w:jc w:val="both"/>
            </w:pPr>
          </w:p>
        </w:tc>
        <w:tc>
          <w:tcPr>
            <w:tcW w:w="2481" w:type="dxa"/>
          </w:tcPr>
          <w:p w:rsidR="00F17CCC" w:rsidRPr="00F6548C" w:rsidRDefault="00F17CCC" w:rsidP="00154313">
            <w:pPr>
              <w:jc w:val="both"/>
            </w:pPr>
            <w:r>
              <w:t>A</w:t>
            </w:r>
          </w:p>
        </w:tc>
        <w:tc>
          <w:tcPr>
            <w:tcW w:w="2481" w:type="dxa"/>
            <w:shd w:val="clear" w:color="auto" w:fill="C6D9F1" w:themeFill="text2" w:themeFillTint="33"/>
          </w:tcPr>
          <w:p w:rsidR="00F17CCC" w:rsidRDefault="00F17CCC" w:rsidP="00154313">
            <w:pPr>
              <w:jc w:val="both"/>
            </w:pPr>
          </w:p>
        </w:tc>
      </w:tr>
      <w:tr w:rsidR="00F17CCC" w:rsidRPr="00F6548C" w:rsidTr="00F17CCC">
        <w:tc>
          <w:tcPr>
            <w:tcW w:w="2314" w:type="dxa"/>
            <w:shd w:val="clear" w:color="auto" w:fill="auto"/>
          </w:tcPr>
          <w:p w:rsidR="00F17CCC" w:rsidRPr="00F6548C" w:rsidRDefault="00F17CCC" w:rsidP="003B019D">
            <w:pPr>
              <w:pStyle w:val="ListParagraph"/>
              <w:numPr>
                <w:ilvl w:val="0"/>
                <w:numId w:val="3"/>
              </w:numPr>
              <w:ind w:left="360" w:hanging="360"/>
              <w:rPr>
                <w:b/>
              </w:rPr>
            </w:pPr>
            <w:r w:rsidRPr="00F6548C">
              <w:rPr>
                <w:b/>
              </w:rPr>
              <w:t>Spatial and temporal closures and restrictions on the use of FADs</w:t>
            </w:r>
          </w:p>
        </w:tc>
        <w:tc>
          <w:tcPr>
            <w:tcW w:w="2868" w:type="dxa"/>
            <w:gridSpan w:val="2"/>
          </w:tcPr>
          <w:p w:rsidR="00F17CCC" w:rsidRPr="00EC2636" w:rsidRDefault="00F17CCC" w:rsidP="00410E8A">
            <w:pPr>
              <w:jc w:val="both"/>
            </w:pPr>
            <w:r>
              <w:t>None</w:t>
            </w:r>
          </w:p>
        </w:tc>
        <w:tc>
          <w:tcPr>
            <w:tcW w:w="2754" w:type="dxa"/>
            <w:gridSpan w:val="2"/>
          </w:tcPr>
          <w:p w:rsidR="00F17CCC" w:rsidRPr="00F6548C" w:rsidRDefault="00F17CCC" w:rsidP="00154313">
            <w:pPr>
              <w:jc w:val="both"/>
            </w:pPr>
          </w:p>
        </w:tc>
        <w:tc>
          <w:tcPr>
            <w:tcW w:w="2481" w:type="dxa"/>
          </w:tcPr>
          <w:p w:rsidR="00F17CCC" w:rsidRPr="00F6548C" w:rsidRDefault="00F17CCC" w:rsidP="00154313">
            <w:pPr>
              <w:jc w:val="both"/>
            </w:pPr>
            <w:r>
              <w:t>A</w:t>
            </w:r>
          </w:p>
        </w:tc>
        <w:tc>
          <w:tcPr>
            <w:tcW w:w="2481" w:type="dxa"/>
            <w:shd w:val="clear" w:color="auto" w:fill="C6D9F1" w:themeFill="text2" w:themeFillTint="33"/>
          </w:tcPr>
          <w:p w:rsidR="00F17CCC" w:rsidRDefault="00F17CCC" w:rsidP="00154313">
            <w:pPr>
              <w:jc w:val="both"/>
            </w:pPr>
          </w:p>
        </w:tc>
      </w:tr>
      <w:tr w:rsidR="00F17CCC" w:rsidRPr="00F6548C" w:rsidTr="00F17CCC">
        <w:tc>
          <w:tcPr>
            <w:tcW w:w="2314" w:type="dxa"/>
            <w:shd w:val="clear" w:color="auto" w:fill="auto"/>
          </w:tcPr>
          <w:p w:rsidR="00F17CCC" w:rsidRPr="00F6548C" w:rsidRDefault="00F17CCC" w:rsidP="003B019D">
            <w:pPr>
              <w:pStyle w:val="ListParagraph"/>
              <w:numPr>
                <w:ilvl w:val="0"/>
                <w:numId w:val="3"/>
              </w:numPr>
              <w:ind w:left="360" w:hanging="360"/>
              <w:rPr>
                <w:b/>
              </w:rPr>
            </w:pPr>
            <w:r w:rsidRPr="00F6548C">
              <w:rPr>
                <w:b/>
              </w:rPr>
              <w:t>Observer and VMS coverage</w:t>
            </w:r>
          </w:p>
        </w:tc>
        <w:tc>
          <w:tcPr>
            <w:tcW w:w="2868" w:type="dxa"/>
            <w:gridSpan w:val="2"/>
          </w:tcPr>
          <w:p w:rsidR="00F17CCC" w:rsidRPr="00EC2636" w:rsidRDefault="00F17CCC" w:rsidP="00410E8A">
            <w:pPr>
              <w:jc w:val="both"/>
            </w:pPr>
            <w:r>
              <w:t>None</w:t>
            </w:r>
          </w:p>
        </w:tc>
        <w:tc>
          <w:tcPr>
            <w:tcW w:w="2754" w:type="dxa"/>
            <w:gridSpan w:val="2"/>
          </w:tcPr>
          <w:p w:rsidR="00F17CCC" w:rsidRPr="00F6548C" w:rsidRDefault="00F17CCC" w:rsidP="00154313">
            <w:pPr>
              <w:jc w:val="both"/>
            </w:pPr>
          </w:p>
        </w:tc>
        <w:tc>
          <w:tcPr>
            <w:tcW w:w="2481" w:type="dxa"/>
          </w:tcPr>
          <w:p w:rsidR="00F17CCC" w:rsidRPr="00F6548C" w:rsidRDefault="00F17CCC" w:rsidP="00154313">
            <w:pPr>
              <w:jc w:val="both"/>
            </w:pPr>
            <w:r>
              <w:t>A</w:t>
            </w:r>
          </w:p>
        </w:tc>
        <w:tc>
          <w:tcPr>
            <w:tcW w:w="2481" w:type="dxa"/>
            <w:shd w:val="clear" w:color="auto" w:fill="C6D9F1" w:themeFill="text2" w:themeFillTint="33"/>
          </w:tcPr>
          <w:p w:rsidR="00F17CCC" w:rsidRDefault="00F17CCC" w:rsidP="00154313">
            <w:pPr>
              <w:jc w:val="both"/>
            </w:pPr>
          </w:p>
        </w:tc>
      </w:tr>
      <w:tr w:rsidR="00F17CCC" w:rsidRPr="00F6548C" w:rsidTr="00F17CCC">
        <w:tc>
          <w:tcPr>
            <w:tcW w:w="2314" w:type="dxa"/>
            <w:shd w:val="clear" w:color="auto" w:fill="auto"/>
          </w:tcPr>
          <w:p w:rsidR="00F17CCC" w:rsidRPr="00F6548C" w:rsidRDefault="00F17CCC" w:rsidP="003B019D">
            <w:pPr>
              <w:pStyle w:val="ListParagraph"/>
              <w:numPr>
                <w:ilvl w:val="0"/>
                <w:numId w:val="3"/>
              </w:numPr>
              <w:ind w:left="360" w:hanging="360"/>
              <w:rPr>
                <w:b/>
              </w:rPr>
            </w:pPr>
            <w:r w:rsidRPr="00F6548C">
              <w:rPr>
                <w:b/>
              </w:rPr>
              <w:t>Provision of scientific data through Part 1 and the Scientific Data to be provided to the Commission</w:t>
            </w:r>
          </w:p>
        </w:tc>
        <w:tc>
          <w:tcPr>
            <w:tcW w:w="2868" w:type="dxa"/>
            <w:gridSpan w:val="2"/>
          </w:tcPr>
          <w:p w:rsidR="00F17CCC" w:rsidRPr="00F6548C" w:rsidRDefault="00F17CCC" w:rsidP="00570058">
            <w:pPr>
              <w:jc w:val="both"/>
            </w:pPr>
            <w:r>
              <w:t>None</w:t>
            </w:r>
          </w:p>
        </w:tc>
        <w:tc>
          <w:tcPr>
            <w:tcW w:w="2754" w:type="dxa"/>
            <w:gridSpan w:val="2"/>
          </w:tcPr>
          <w:p w:rsidR="00F17CCC" w:rsidRPr="00F6548C" w:rsidRDefault="00F17CCC" w:rsidP="00154313">
            <w:pPr>
              <w:jc w:val="both"/>
            </w:pPr>
          </w:p>
        </w:tc>
        <w:tc>
          <w:tcPr>
            <w:tcW w:w="2481" w:type="dxa"/>
          </w:tcPr>
          <w:p w:rsidR="00F17CCC" w:rsidRPr="00F6548C" w:rsidRDefault="00F17CCC" w:rsidP="00154313">
            <w:pPr>
              <w:jc w:val="both"/>
            </w:pPr>
            <w:r>
              <w:t>A</w:t>
            </w:r>
          </w:p>
        </w:tc>
        <w:tc>
          <w:tcPr>
            <w:tcW w:w="2481" w:type="dxa"/>
            <w:shd w:val="clear" w:color="auto" w:fill="C6D9F1" w:themeFill="text2" w:themeFillTint="33"/>
          </w:tcPr>
          <w:p w:rsidR="00F17CCC" w:rsidRDefault="00F17CCC" w:rsidP="00154313">
            <w:pPr>
              <w:jc w:val="both"/>
            </w:pPr>
          </w:p>
        </w:tc>
      </w:tr>
      <w:tr w:rsidR="00F17CCC" w:rsidRPr="00F6548C" w:rsidTr="00F17CCC">
        <w:trPr>
          <w:gridAfter w:val="5"/>
          <w:wAfter w:w="8103" w:type="dxa"/>
        </w:trPr>
        <w:tc>
          <w:tcPr>
            <w:tcW w:w="2314" w:type="dxa"/>
            <w:shd w:val="clear" w:color="auto" w:fill="C6D9F1" w:themeFill="text2" w:themeFillTint="33"/>
          </w:tcPr>
          <w:p w:rsidR="00F17CCC" w:rsidRPr="00F6548C" w:rsidRDefault="00F17CCC" w:rsidP="00154313">
            <w:pPr>
              <w:jc w:val="both"/>
            </w:pPr>
          </w:p>
        </w:tc>
        <w:tc>
          <w:tcPr>
            <w:tcW w:w="2481" w:type="dxa"/>
            <w:shd w:val="clear" w:color="auto" w:fill="C6D9F1" w:themeFill="text2" w:themeFillTint="33"/>
          </w:tcPr>
          <w:p w:rsidR="00F17CCC" w:rsidRPr="00F6548C" w:rsidRDefault="00F17CCC" w:rsidP="00154313">
            <w:pPr>
              <w:jc w:val="both"/>
            </w:pPr>
          </w:p>
        </w:tc>
      </w:tr>
      <w:tr w:rsidR="00F17CCC" w:rsidRPr="00F6548C" w:rsidTr="002D7B20">
        <w:trPr>
          <w:gridAfter w:val="3"/>
          <w:wAfter w:w="5622" w:type="dxa"/>
        </w:trPr>
        <w:tc>
          <w:tcPr>
            <w:tcW w:w="2314" w:type="dxa"/>
            <w:shd w:val="clear" w:color="auto" w:fill="auto"/>
            <w:vAlign w:val="center"/>
          </w:tcPr>
          <w:p w:rsidR="00F17CCC" w:rsidRPr="00A2601B" w:rsidRDefault="00F17CCC" w:rsidP="007360EF">
            <w:pPr>
              <w:jc w:val="center"/>
              <w:rPr>
                <w:b/>
              </w:rPr>
            </w:pPr>
            <w:r w:rsidRPr="00A2601B">
              <w:rPr>
                <w:b/>
              </w:rPr>
              <w:t>Provisional Assessment of CCM’s Compliance</w:t>
            </w:r>
          </w:p>
        </w:tc>
        <w:tc>
          <w:tcPr>
            <w:tcW w:w="2481" w:type="dxa"/>
            <w:shd w:val="clear" w:color="auto" w:fill="FDE9D9" w:themeFill="accent6" w:themeFillTint="33"/>
          </w:tcPr>
          <w:p w:rsidR="00F17CCC" w:rsidRDefault="00F17CCC" w:rsidP="00154313">
            <w:pPr>
              <w:jc w:val="both"/>
              <w:rPr>
                <w:b/>
                <w:i/>
              </w:rPr>
            </w:pPr>
          </w:p>
          <w:p w:rsidR="00F17CCC" w:rsidRPr="00A2601B" w:rsidRDefault="00F17CCC" w:rsidP="00154313">
            <w:pPr>
              <w:jc w:val="both"/>
              <w:rPr>
                <w:b/>
                <w:i/>
              </w:rPr>
            </w:pPr>
            <w:r>
              <w:rPr>
                <w:b/>
                <w:i/>
              </w:rPr>
              <w:t>Compliance Review</w:t>
            </w:r>
          </w:p>
        </w:tc>
        <w:tc>
          <w:tcPr>
            <w:tcW w:w="2481" w:type="dxa"/>
            <w:gridSpan w:val="2"/>
            <w:shd w:val="clear" w:color="auto" w:fill="FDE9D9" w:themeFill="accent6" w:themeFillTint="33"/>
          </w:tcPr>
          <w:p w:rsidR="00F17CCC" w:rsidRDefault="00F17CCC" w:rsidP="00154313">
            <w:pPr>
              <w:jc w:val="both"/>
              <w:rPr>
                <w:b/>
                <w:i/>
              </w:rPr>
            </w:pPr>
          </w:p>
        </w:tc>
      </w:tr>
    </w:tbl>
    <w:p w:rsidR="00410E8A" w:rsidRPr="00037D97" w:rsidRDefault="00410E8A" w:rsidP="002773F6">
      <w:pPr>
        <w:rPr>
          <w:b/>
          <w:sz w:val="24"/>
        </w:rPr>
      </w:pPr>
    </w:p>
    <w:sectPr w:rsidR="00410E8A" w:rsidRPr="00037D97" w:rsidSect="00373BB3">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301" w:rsidRDefault="008F6301" w:rsidP="00A72D72">
      <w:pPr>
        <w:spacing w:after="0" w:line="240" w:lineRule="auto"/>
      </w:pPr>
      <w:r>
        <w:separator/>
      </w:r>
    </w:p>
  </w:endnote>
  <w:endnote w:type="continuationSeparator" w:id="0">
    <w:p w:rsidR="008F6301" w:rsidRDefault="008F6301" w:rsidP="00A7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301" w:rsidRDefault="008F6301" w:rsidP="00A72D72">
      <w:pPr>
        <w:spacing w:after="0" w:line="240" w:lineRule="auto"/>
      </w:pPr>
      <w:r>
        <w:separator/>
      </w:r>
    </w:p>
  </w:footnote>
  <w:footnote w:type="continuationSeparator" w:id="0">
    <w:p w:rsidR="008F6301" w:rsidRDefault="008F6301" w:rsidP="00A7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509"/>
    <w:multiLevelType w:val="hybridMultilevel"/>
    <w:tmpl w:val="6782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75404"/>
    <w:multiLevelType w:val="hybridMultilevel"/>
    <w:tmpl w:val="AD52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5264F"/>
    <w:multiLevelType w:val="hybridMultilevel"/>
    <w:tmpl w:val="197A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52A37"/>
    <w:multiLevelType w:val="hybridMultilevel"/>
    <w:tmpl w:val="6100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704F7"/>
    <w:multiLevelType w:val="hybridMultilevel"/>
    <w:tmpl w:val="4E4C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650D9"/>
    <w:multiLevelType w:val="hybridMultilevel"/>
    <w:tmpl w:val="61D8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E044B"/>
    <w:multiLevelType w:val="hybridMultilevel"/>
    <w:tmpl w:val="FE4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15902"/>
    <w:multiLevelType w:val="hybridMultilevel"/>
    <w:tmpl w:val="94DC296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Arial"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Arial"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Arial" w:hint="default"/>
      </w:rPr>
    </w:lvl>
    <w:lvl w:ilvl="8" w:tplc="04090005" w:tentative="1">
      <w:start w:val="1"/>
      <w:numFmt w:val="bullet"/>
      <w:lvlText w:val=""/>
      <w:lvlJc w:val="left"/>
      <w:pPr>
        <w:ind w:left="6490" w:hanging="360"/>
      </w:pPr>
      <w:rPr>
        <w:rFonts w:ascii="Wingdings" w:hAnsi="Wingdings" w:hint="default"/>
      </w:rPr>
    </w:lvl>
  </w:abstractNum>
  <w:abstractNum w:abstractNumId="8">
    <w:nsid w:val="4CD8448A"/>
    <w:multiLevelType w:val="hybridMultilevel"/>
    <w:tmpl w:val="A274E9EC"/>
    <w:lvl w:ilvl="0" w:tplc="236685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D7A80"/>
    <w:multiLevelType w:val="hybridMultilevel"/>
    <w:tmpl w:val="C652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25AC4"/>
    <w:multiLevelType w:val="hybridMultilevel"/>
    <w:tmpl w:val="B00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2169C"/>
    <w:multiLevelType w:val="hybridMultilevel"/>
    <w:tmpl w:val="4566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0"/>
  </w:num>
  <w:num w:numId="5">
    <w:abstractNumId w:val="7"/>
  </w:num>
  <w:num w:numId="6">
    <w:abstractNumId w:val="1"/>
  </w:num>
  <w:num w:numId="7">
    <w:abstractNumId w:val="9"/>
  </w:num>
  <w:num w:numId="8">
    <w:abstractNumId w:val="0"/>
  </w:num>
  <w:num w:numId="9">
    <w:abstractNumId w:val="3"/>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D1"/>
    <w:rsid w:val="000022D4"/>
    <w:rsid w:val="00037D97"/>
    <w:rsid w:val="000849BA"/>
    <w:rsid w:val="000B48B3"/>
    <w:rsid w:val="000C31AC"/>
    <w:rsid w:val="000C74A6"/>
    <w:rsid w:val="000E4665"/>
    <w:rsid w:val="00102FE0"/>
    <w:rsid w:val="00152045"/>
    <w:rsid w:val="00154313"/>
    <w:rsid w:val="001A4B29"/>
    <w:rsid w:val="001B4D2C"/>
    <w:rsid w:val="001C3E12"/>
    <w:rsid w:val="0022059E"/>
    <w:rsid w:val="00235EDC"/>
    <w:rsid w:val="00236138"/>
    <w:rsid w:val="002517B4"/>
    <w:rsid w:val="00267DCE"/>
    <w:rsid w:val="0027354C"/>
    <w:rsid w:val="002773F6"/>
    <w:rsid w:val="002F36CA"/>
    <w:rsid w:val="002F56AC"/>
    <w:rsid w:val="00352BD8"/>
    <w:rsid w:val="003635DF"/>
    <w:rsid w:val="00373BB3"/>
    <w:rsid w:val="003832C5"/>
    <w:rsid w:val="003B019D"/>
    <w:rsid w:val="003E0C00"/>
    <w:rsid w:val="003F036D"/>
    <w:rsid w:val="00410E8A"/>
    <w:rsid w:val="00416862"/>
    <w:rsid w:val="0041706D"/>
    <w:rsid w:val="004772D1"/>
    <w:rsid w:val="004D167D"/>
    <w:rsid w:val="004F0E5B"/>
    <w:rsid w:val="00514DE9"/>
    <w:rsid w:val="00544F91"/>
    <w:rsid w:val="00561A66"/>
    <w:rsid w:val="00567DFD"/>
    <w:rsid w:val="00570058"/>
    <w:rsid w:val="00586590"/>
    <w:rsid w:val="00586ADC"/>
    <w:rsid w:val="005B5855"/>
    <w:rsid w:val="006643CF"/>
    <w:rsid w:val="006761E2"/>
    <w:rsid w:val="006A6541"/>
    <w:rsid w:val="006D3B9A"/>
    <w:rsid w:val="006F7E63"/>
    <w:rsid w:val="007360EF"/>
    <w:rsid w:val="00767A05"/>
    <w:rsid w:val="0077406E"/>
    <w:rsid w:val="0079067C"/>
    <w:rsid w:val="007A065C"/>
    <w:rsid w:val="007D396F"/>
    <w:rsid w:val="008012EC"/>
    <w:rsid w:val="00801419"/>
    <w:rsid w:val="00801B84"/>
    <w:rsid w:val="00825696"/>
    <w:rsid w:val="00836B9F"/>
    <w:rsid w:val="00877077"/>
    <w:rsid w:val="008F6301"/>
    <w:rsid w:val="009152F5"/>
    <w:rsid w:val="0091600A"/>
    <w:rsid w:val="009254F5"/>
    <w:rsid w:val="009D0939"/>
    <w:rsid w:val="009D59D1"/>
    <w:rsid w:val="00A2601B"/>
    <w:rsid w:val="00A72D72"/>
    <w:rsid w:val="00A96126"/>
    <w:rsid w:val="00AA1206"/>
    <w:rsid w:val="00B17DDF"/>
    <w:rsid w:val="00B209DD"/>
    <w:rsid w:val="00B40A2A"/>
    <w:rsid w:val="00B41BB0"/>
    <w:rsid w:val="00B469F3"/>
    <w:rsid w:val="00B85274"/>
    <w:rsid w:val="00BD3B50"/>
    <w:rsid w:val="00C32845"/>
    <w:rsid w:val="00C82546"/>
    <w:rsid w:val="00C9297B"/>
    <w:rsid w:val="00CC0E46"/>
    <w:rsid w:val="00CF5385"/>
    <w:rsid w:val="00D24302"/>
    <w:rsid w:val="00D34245"/>
    <w:rsid w:val="00D45C0E"/>
    <w:rsid w:val="00D52063"/>
    <w:rsid w:val="00D9682C"/>
    <w:rsid w:val="00DA7F02"/>
    <w:rsid w:val="00E40388"/>
    <w:rsid w:val="00E4270D"/>
    <w:rsid w:val="00E73E41"/>
    <w:rsid w:val="00E76E4E"/>
    <w:rsid w:val="00EC2636"/>
    <w:rsid w:val="00EC7499"/>
    <w:rsid w:val="00ED40CA"/>
    <w:rsid w:val="00F17CCC"/>
    <w:rsid w:val="00F542FE"/>
    <w:rsid w:val="00F6548C"/>
    <w:rsid w:val="00FC6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9D1"/>
    <w:pPr>
      <w:ind w:left="720"/>
      <w:contextualSpacing/>
    </w:pPr>
  </w:style>
  <w:style w:type="table" w:styleId="TableGrid">
    <w:name w:val="Table Grid"/>
    <w:basedOn w:val="TableNormal"/>
    <w:uiPriority w:val="59"/>
    <w:rsid w:val="00DA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2"/>
  </w:style>
  <w:style w:type="paragraph" w:styleId="Footer">
    <w:name w:val="footer"/>
    <w:basedOn w:val="Normal"/>
    <w:link w:val="FooterChar"/>
    <w:uiPriority w:val="99"/>
    <w:unhideWhenUsed/>
    <w:rsid w:val="00A7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2"/>
  </w:style>
  <w:style w:type="paragraph" w:styleId="BalloonText">
    <w:name w:val="Balloon Text"/>
    <w:basedOn w:val="Normal"/>
    <w:link w:val="BalloonTextChar"/>
    <w:uiPriority w:val="99"/>
    <w:semiHidden/>
    <w:unhideWhenUsed/>
    <w:rsid w:val="00A7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72"/>
    <w:rPr>
      <w:rFonts w:ascii="Tahoma" w:hAnsi="Tahoma" w:cs="Tahoma"/>
      <w:sz w:val="16"/>
      <w:szCs w:val="16"/>
    </w:rPr>
  </w:style>
  <w:style w:type="character" w:styleId="CommentReference">
    <w:name w:val="annotation reference"/>
    <w:uiPriority w:val="99"/>
    <w:semiHidden/>
    <w:rsid w:val="000849BA"/>
    <w:rPr>
      <w:rFonts w:cs="Times New Roman"/>
      <w:sz w:val="16"/>
      <w:szCs w:val="16"/>
    </w:rPr>
  </w:style>
  <w:style w:type="paragraph" w:styleId="CommentText">
    <w:name w:val="annotation text"/>
    <w:basedOn w:val="Normal"/>
    <w:link w:val="CommentTextChar"/>
    <w:uiPriority w:val="99"/>
    <w:semiHidden/>
    <w:rsid w:val="000849B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849BA"/>
    <w:rPr>
      <w:rFonts w:ascii="Calibri" w:eastAsia="Calibri" w:hAnsi="Calibri" w:cs="Times New Roman"/>
      <w:sz w:val="20"/>
      <w:szCs w:val="20"/>
    </w:rPr>
  </w:style>
  <w:style w:type="paragraph" w:customStyle="1" w:styleId="Default">
    <w:name w:val="Default"/>
    <w:rsid w:val="00235EDC"/>
    <w:pPr>
      <w:autoSpaceDE w:val="0"/>
      <w:autoSpaceDN w:val="0"/>
      <w:adjustRightInd w:val="0"/>
      <w:spacing w:after="0" w:line="240" w:lineRule="auto"/>
    </w:pPr>
    <w:rPr>
      <w:rFonts w:ascii="Times New Roman" w:eastAsia="Times New Roman" w:hAnsi="Times New Roman" w:cs="Times New Roman"/>
      <w:color w:val="000000"/>
      <w:sz w:val="24"/>
      <w:szCs w:val="24"/>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59D1"/>
    <w:pPr>
      <w:ind w:left="720"/>
      <w:contextualSpacing/>
    </w:pPr>
  </w:style>
  <w:style w:type="table" w:styleId="TableGrid">
    <w:name w:val="Table Grid"/>
    <w:basedOn w:val="TableNormal"/>
    <w:uiPriority w:val="59"/>
    <w:rsid w:val="00DA7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72"/>
  </w:style>
  <w:style w:type="paragraph" w:styleId="Footer">
    <w:name w:val="footer"/>
    <w:basedOn w:val="Normal"/>
    <w:link w:val="FooterChar"/>
    <w:uiPriority w:val="99"/>
    <w:unhideWhenUsed/>
    <w:rsid w:val="00A7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72"/>
  </w:style>
  <w:style w:type="paragraph" w:styleId="BalloonText">
    <w:name w:val="Balloon Text"/>
    <w:basedOn w:val="Normal"/>
    <w:link w:val="BalloonTextChar"/>
    <w:uiPriority w:val="99"/>
    <w:semiHidden/>
    <w:unhideWhenUsed/>
    <w:rsid w:val="00A7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D72"/>
    <w:rPr>
      <w:rFonts w:ascii="Tahoma" w:hAnsi="Tahoma" w:cs="Tahoma"/>
      <w:sz w:val="16"/>
      <w:szCs w:val="16"/>
    </w:rPr>
  </w:style>
  <w:style w:type="character" w:styleId="CommentReference">
    <w:name w:val="annotation reference"/>
    <w:uiPriority w:val="99"/>
    <w:semiHidden/>
    <w:rsid w:val="000849BA"/>
    <w:rPr>
      <w:rFonts w:cs="Times New Roman"/>
      <w:sz w:val="16"/>
      <w:szCs w:val="16"/>
    </w:rPr>
  </w:style>
  <w:style w:type="paragraph" w:styleId="CommentText">
    <w:name w:val="annotation text"/>
    <w:basedOn w:val="Normal"/>
    <w:link w:val="CommentTextChar"/>
    <w:uiPriority w:val="99"/>
    <w:semiHidden/>
    <w:rsid w:val="000849B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849BA"/>
    <w:rPr>
      <w:rFonts w:ascii="Calibri" w:eastAsia="Calibri" w:hAnsi="Calibri" w:cs="Times New Roman"/>
      <w:sz w:val="20"/>
      <w:szCs w:val="20"/>
    </w:rPr>
  </w:style>
  <w:style w:type="paragraph" w:customStyle="1" w:styleId="Default">
    <w:name w:val="Default"/>
    <w:rsid w:val="00235EDC"/>
    <w:pPr>
      <w:autoSpaceDE w:val="0"/>
      <w:autoSpaceDN w:val="0"/>
      <w:adjustRightInd w:val="0"/>
      <w:spacing w:after="0" w:line="240" w:lineRule="auto"/>
    </w:pPr>
    <w:rPr>
      <w:rFonts w:ascii="Times New Roman" w:eastAsia="Times New Roman" w:hAnsi="Times New Roman" w:cs="Times New Roman"/>
      <w:color w:val="000000"/>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EEF4-E39E-49AC-A79A-F9726A7B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RheaC</dc:creator>
  <cp:lastModifiedBy>Ana Taholo</cp:lastModifiedBy>
  <cp:revision>2</cp:revision>
  <dcterms:created xsi:type="dcterms:W3CDTF">2013-07-30T01:32:00Z</dcterms:created>
  <dcterms:modified xsi:type="dcterms:W3CDTF">2013-07-30T01:32:00Z</dcterms:modified>
</cp:coreProperties>
</file>