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51" w:rsidRDefault="006F5751" w:rsidP="00037D97">
      <w:pPr>
        <w:spacing w:after="0" w:line="240" w:lineRule="auto"/>
        <w:jc w:val="center"/>
        <w:rPr>
          <w:b/>
          <w:bCs/>
          <w:sz w:val="28"/>
          <w:szCs w:val="28"/>
        </w:rPr>
      </w:pPr>
      <w:r>
        <w:rPr>
          <w:b/>
          <w:bCs/>
          <w:sz w:val="28"/>
          <w:szCs w:val="28"/>
        </w:rPr>
        <w:t xml:space="preserve">PHILIPPINES </w:t>
      </w:r>
    </w:p>
    <w:p w:rsidR="006F5751" w:rsidRDefault="006F5751" w:rsidP="006632A5">
      <w:pPr>
        <w:spacing w:after="0"/>
        <w:jc w:val="center"/>
        <w:rPr>
          <w:b/>
          <w:bCs/>
        </w:rPr>
      </w:pPr>
      <w:r w:rsidRPr="00761BF6">
        <w:rPr>
          <w:b/>
          <w:bCs/>
        </w:rPr>
        <w:t>Paragraph 21 of CMM 2012-02 Compliance Monitoring Scheme states "Each CCM shall include, in its Part 2 Annual Report, any actions it has taken to address its non-compliance in the previous year.  The list below shows the</w:t>
      </w:r>
      <w:r>
        <w:rPr>
          <w:b/>
          <w:bCs/>
        </w:rPr>
        <w:t xml:space="preserve"> 2012 CMR</w:t>
      </w:r>
      <w:r w:rsidRPr="00761BF6">
        <w:rPr>
          <w:b/>
          <w:bCs/>
        </w:rPr>
        <w:t xml:space="preserve"> issues that were highlighted in TCC8s provisional CMR report for </w:t>
      </w:r>
      <w:r>
        <w:rPr>
          <w:b/>
          <w:bCs/>
        </w:rPr>
        <w:t>Philippines</w:t>
      </w:r>
      <w:r w:rsidRPr="00761BF6">
        <w:rPr>
          <w:b/>
          <w:bCs/>
        </w:rPr>
        <w:t>- covering 2011 activities</w:t>
      </w:r>
      <w:bookmarkStart w:id="0" w:name="_GoBack"/>
      <w:bookmarkEnd w:id="0"/>
    </w:p>
    <w:p w:rsidR="006F5751" w:rsidRPr="00761BF6" w:rsidRDefault="006F5751" w:rsidP="006632A5">
      <w:pPr>
        <w:jc w:val="center"/>
        <w:rPr>
          <w:b/>
          <w:bCs/>
          <w:i/>
          <w:iCs/>
          <w:sz w:val="20"/>
          <w:szCs w:val="20"/>
        </w:rPr>
      </w:pPr>
      <w:r w:rsidRPr="00761BF6">
        <w:rPr>
          <w:b/>
          <w:bCs/>
          <w:i/>
          <w:iCs/>
          <w:sz w:val="20"/>
          <w:szCs w:val="20"/>
        </w:rPr>
        <w:t xml:space="preserve">Key:  A = Compliant, </w:t>
      </w:r>
      <w:r>
        <w:rPr>
          <w:b/>
          <w:bCs/>
          <w:i/>
          <w:iCs/>
          <w:sz w:val="20"/>
          <w:szCs w:val="20"/>
        </w:rPr>
        <w:t>B = Not Applicable, C = Compliance</w:t>
      </w:r>
      <w:r w:rsidRPr="00761BF6">
        <w:rPr>
          <w:b/>
          <w:bCs/>
          <w:i/>
          <w:iCs/>
          <w:sz w:val="20"/>
          <w:szCs w:val="20"/>
        </w:rPr>
        <w:t xml:space="preserve"> Review</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356"/>
        <w:gridCol w:w="796"/>
        <w:gridCol w:w="1560"/>
        <w:gridCol w:w="1101"/>
        <w:gridCol w:w="2356"/>
        <w:gridCol w:w="2356"/>
      </w:tblGrid>
      <w:tr w:rsidR="006F5751" w:rsidRPr="00E25538">
        <w:tc>
          <w:tcPr>
            <w:tcW w:w="2265" w:type="dxa"/>
            <w:shd w:val="clear" w:color="auto" w:fill="C6D9F1"/>
          </w:tcPr>
          <w:p w:rsidR="006F5751" w:rsidRPr="00E25538" w:rsidRDefault="006F5751" w:rsidP="00E25538">
            <w:pPr>
              <w:spacing w:after="0" w:line="240" w:lineRule="auto"/>
              <w:jc w:val="both"/>
              <w:rPr>
                <w:b/>
                <w:bCs/>
              </w:rPr>
            </w:pPr>
            <w:r w:rsidRPr="00E25538">
              <w:rPr>
                <w:b/>
                <w:bCs/>
              </w:rPr>
              <w:t>Category</w:t>
            </w:r>
          </w:p>
        </w:tc>
        <w:tc>
          <w:tcPr>
            <w:tcW w:w="3152" w:type="dxa"/>
            <w:gridSpan w:val="2"/>
            <w:shd w:val="clear" w:color="auto" w:fill="C6D9F1"/>
          </w:tcPr>
          <w:p w:rsidR="006F5751" w:rsidRPr="00E25538" w:rsidRDefault="006F5751" w:rsidP="00E25538">
            <w:pPr>
              <w:spacing w:after="0" w:line="240" w:lineRule="auto"/>
              <w:rPr>
                <w:b/>
                <w:bCs/>
              </w:rPr>
            </w:pPr>
            <w:r w:rsidRPr="00E25538">
              <w:rPr>
                <w:b/>
                <w:bCs/>
              </w:rPr>
              <w:t>Any issues identified or additional information required for 2011?</w:t>
            </w:r>
          </w:p>
        </w:tc>
        <w:tc>
          <w:tcPr>
            <w:tcW w:w="2661" w:type="dxa"/>
            <w:gridSpan w:val="2"/>
            <w:shd w:val="clear" w:color="auto" w:fill="C6D9F1"/>
          </w:tcPr>
          <w:p w:rsidR="006F5751" w:rsidRPr="00E25538" w:rsidRDefault="006F5751" w:rsidP="00E25538">
            <w:pPr>
              <w:spacing w:after="0" w:line="240" w:lineRule="auto"/>
              <w:rPr>
                <w:b/>
                <w:bCs/>
              </w:rPr>
            </w:pPr>
            <w:r w:rsidRPr="00E25538">
              <w:rPr>
                <w:b/>
                <w:bCs/>
              </w:rPr>
              <w:t>CCM Response (</w:t>
            </w:r>
            <w:r w:rsidRPr="00E25538">
              <w:rPr>
                <w:b/>
                <w:bCs/>
                <w:i/>
                <w:iCs/>
              </w:rPr>
              <w:t>if none received to date</w:t>
            </w:r>
            <w:r w:rsidRPr="00E25538">
              <w:rPr>
                <w:b/>
                <w:bCs/>
              </w:rPr>
              <w:t>)</w:t>
            </w:r>
          </w:p>
        </w:tc>
        <w:tc>
          <w:tcPr>
            <w:tcW w:w="2356" w:type="dxa"/>
            <w:shd w:val="clear" w:color="auto" w:fill="C6D9F1"/>
          </w:tcPr>
          <w:p w:rsidR="006F5751" w:rsidRPr="00E25538" w:rsidRDefault="006F5751" w:rsidP="00E25538">
            <w:pPr>
              <w:spacing w:after="0" w:line="240" w:lineRule="auto"/>
              <w:rPr>
                <w:b/>
                <w:bCs/>
              </w:rPr>
            </w:pPr>
            <w:r w:rsidRPr="00E25538">
              <w:rPr>
                <w:b/>
                <w:bCs/>
              </w:rPr>
              <w:t>Compliance or implementation status</w:t>
            </w:r>
          </w:p>
        </w:tc>
        <w:tc>
          <w:tcPr>
            <w:tcW w:w="2356" w:type="dxa"/>
            <w:shd w:val="clear" w:color="auto" w:fill="C6D9F1"/>
          </w:tcPr>
          <w:p w:rsidR="006F5751" w:rsidRPr="00E25538" w:rsidRDefault="006F5751" w:rsidP="00E25538">
            <w:pPr>
              <w:spacing w:after="0" w:line="240" w:lineRule="auto"/>
              <w:rPr>
                <w:b/>
                <w:bCs/>
              </w:rPr>
            </w:pPr>
            <w:r w:rsidRPr="00E25538">
              <w:rPr>
                <w:b/>
                <w:bCs/>
              </w:rPr>
              <w:t xml:space="preserve">AR Part 2 2012 CCM Reponses   </w:t>
            </w:r>
          </w:p>
          <w:p w:rsidR="006F5751" w:rsidRPr="00E25538" w:rsidRDefault="006F5751" w:rsidP="00E25538">
            <w:pPr>
              <w:spacing w:after="0" w:line="240" w:lineRule="auto"/>
              <w:rPr>
                <w:b/>
                <w:bCs/>
              </w:rPr>
            </w:pPr>
          </w:p>
        </w:tc>
      </w:tr>
      <w:tr w:rsidR="006F5751" w:rsidRPr="00E25538">
        <w:tc>
          <w:tcPr>
            <w:tcW w:w="2265" w:type="dxa"/>
          </w:tcPr>
          <w:p w:rsidR="006F5751" w:rsidRPr="00E25538" w:rsidRDefault="006F5751" w:rsidP="00E25538">
            <w:pPr>
              <w:pStyle w:val="ListParagraph"/>
              <w:numPr>
                <w:ilvl w:val="0"/>
                <w:numId w:val="3"/>
              </w:numPr>
              <w:spacing w:after="0" w:line="240" w:lineRule="auto"/>
              <w:ind w:left="360" w:hanging="360"/>
              <w:rPr>
                <w:b/>
                <w:bCs/>
              </w:rPr>
            </w:pPr>
            <w:r w:rsidRPr="00E25538">
              <w:rPr>
                <w:b/>
                <w:bCs/>
              </w:rPr>
              <w:t>Catch and effort limits</w:t>
            </w:r>
          </w:p>
        </w:tc>
        <w:tc>
          <w:tcPr>
            <w:tcW w:w="3152" w:type="dxa"/>
            <w:gridSpan w:val="2"/>
          </w:tcPr>
          <w:p w:rsidR="006F5751" w:rsidRPr="00E25538" w:rsidRDefault="006F5751" w:rsidP="00E25538">
            <w:pPr>
              <w:spacing w:after="0" w:line="240" w:lineRule="auto"/>
              <w:jc w:val="both"/>
            </w:pPr>
            <w:r w:rsidRPr="00E25538">
              <w:t>None</w:t>
            </w:r>
          </w:p>
          <w:p w:rsidR="006F5751" w:rsidRPr="00E25538" w:rsidRDefault="006F5751" w:rsidP="00E25538">
            <w:pPr>
              <w:spacing w:after="0" w:line="240" w:lineRule="auto"/>
              <w:jc w:val="both"/>
            </w:pPr>
          </w:p>
        </w:tc>
        <w:tc>
          <w:tcPr>
            <w:tcW w:w="2661" w:type="dxa"/>
            <w:gridSpan w:val="2"/>
          </w:tcPr>
          <w:p w:rsidR="006F5751" w:rsidRPr="00E25538" w:rsidRDefault="006F5751" w:rsidP="00E25538">
            <w:pPr>
              <w:spacing w:after="0" w:line="240" w:lineRule="auto"/>
              <w:jc w:val="both"/>
            </w:pPr>
          </w:p>
        </w:tc>
        <w:tc>
          <w:tcPr>
            <w:tcW w:w="2356" w:type="dxa"/>
          </w:tcPr>
          <w:p w:rsidR="006F5751" w:rsidRPr="00E25538" w:rsidRDefault="006F5751" w:rsidP="00E25538">
            <w:pPr>
              <w:spacing w:after="0" w:line="240" w:lineRule="auto"/>
              <w:jc w:val="both"/>
            </w:pPr>
            <w:r w:rsidRPr="00E25538">
              <w:t>A</w:t>
            </w:r>
          </w:p>
        </w:tc>
        <w:tc>
          <w:tcPr>
            <w:tcW w:w="2356" w:type="dxa"/>
            <w:shd w:val="clear" w:color="auto" w:fill="C6D9F1"/>
          </w:tcPr>
          <w:p w:rsidR="006F5751" w:rsidRPr="00E25538" w:rsidRDefault="006F5751" w:rsidP="00E25538">
            <w:pPr>
              <w:spacing w:after="0" w:line="240" w:lineRule="auto"/>
              <w:jc w:val="both"/>
            </w:pPr>
          </w:p>
        </w:tc>
      </w:tr>
      <w:tr w:rsidR="006F5751" w:rsidRPr="00E25538">
        <w:tc>
          <w:tcPr>
            <w:tcW w:w="2265" w:type="dxa"/>
          </w:tcPr>
          <w:p w:rsidR="006F5751" w:rsidRPr="00E25538" w:rsidRDefault="006F5751" w:rsidP="00E25538">
            <w:pPr>
              <w:pStyle w:val="ListParagraph"/>
              <w:numPr>
                <w:ilvl w:val="0"/>
                <w:numId w:val="3"/>
              </w:numPr>
              <w:spacing w:after="0" w:line="240" w:lineRule="auto"/>
              <w:ind w:left="360" w:hanging="360"/>
              <w:rPr>
                <w:b/>
                <w:bCs/>
              </w:rPr>
            </w:pPr>
            <w:r w:rsidRPr="00E25538">
              <w:rPr>
                <w:b/>
                <w:bCs/>
              </w:rPr>
              <w:t>Catch and effort reporting</w:t>
            </w:r>
          </w:p>
        </w:tc>
        <w:tc>
          <w:tcPr>
            <w:tcW w:w="3152" w:type="dxa"/>
            <w:gridSpan w:val="2"/>
          </w:tcPr>
          <w:p w:rsidR="006F5751" w:rsidRPr="00E25538" w:rsidRDefault="006F5751" w:rsidP="00E25538">
            <w:pPr>
              <w:spacing w:after="0" w:line="240" w:lineRule="auto"/>
              <w:jc w:val="both"/>
              <w:rPr>
                <w:i/>
                <w:iCs/>
              </w:rPr>
            </w:pPr>
            <w:r w:rsidRPr="00E25538">
              <w:rPr>
                <w:i/>
                <w:iCs/>
              </w:rPr>
              <w:t>2008-01 Bigeye and Yellowfinpara 39: Report effort data for other commercial fisheries.</w:t>
            </w:r>
          </w:p>
          <w:p w:rsidR="006F5751" w:rsidRPr="00E25538" w:rsidRDefault="006F5751" w:rsidP="00E25538">
            <w:pPr>
              <w:autoSpaceDE w:val="0"/>
              <w:autoSpaceDN w:val="0"/>
              <w:adjustRightInd w:val="0"/>
              <w:spacing w:after="0" w:line="240" w:lineRule="auto"/>
            </w:pPr>
            <w:r w:rsidRPr="00E25538">
              <w:t>“It has been recognized by the</w:t>
            </w:r>
          </w:p>
          <w:p w:rsidR="006F5751" w:rsidRPr="00E25538" w:rsidRDefault="006F5751" w:rsidP="00E25538">
            <w:pPr>
              <w:autoSpaceDE w:val="0"/>
              <w:autoSpaceDN w:val="0"/>
              <w:adjustRightInd w:val="0"/>
              <w:spacing w:after="0" w:line="240" w:lineRule="auto"/>
            </w:pPr>
            <w:r w:rsidRPr="00E25538">
              <w:t>Commission that Philippines and</w:t>
            </w:r>
          </w:p>
          <w:p w:rsidR="006F5751" w:rsidRPr="00E25538" w:rsidRDefault="006F5751" w:rsidP="00E25538">
            <w:pPr>
              <w:autoSpaceDE w:val="0"/>
              <w:autoSpaceDN w:val="0"/>
              <w:adjustRightInd w:val="0"/>
              <w:spacing w:after="0" w:line="240" w:lineRule="auto"/>
            </w:pPr>
            <w:r w:rsidRPr="00E25538">
              <w:t>other members and cooperating</w:t>
            </w:r>
          </w:p>
          <w:p w:rsidR="006F5751" w:rsidRPr="00E25538" w:rsidRDefault="006F5751" w:rsidP="00E25538">
            <w:pPr>
              <w:autoSpaceDE w:val="0"/>
              <w:autoSpaceDN w:val="0"/>
              <w:adjustRightInd w:val="0"/>
              <w:spacing w:after="0" w:line="240" w:lineRule="auto"/>
            </w:pPr>
            <w:r w:rsidRPr="00E25538">
              <w:t>non-members of the Commission may have difficulties complying with this information. Although</w:t>
            </w:r>
          </w:p>
          <w:p w:rsidR="006F5751" w:rsidRPr="00E25538" w:rsidRDefault="006F5751" w:rsidP="00E25538">
            <w:pPr>
              <w:autoSpaceDE w:val="0"/>
              <w:autoSpaceDN w:val="0"/>
              <w:adjustRightInd w:val="0"/>
              <w:spacing w:after="0" w:line="240" w:lineRule="auto"/>
            </w:pPr>
            <w:r w:rsidRPr="00E25538">
              <w:t>Philippines have provided someinformation and continues to improve data on relation to this fisheries.</w:t>
            </w:r>
          </w:p>
          <w:p w:rsidR="006F5751" w:rsidRPr="00E25538" w:rsidRDefault="006F5751" w:rsidP="00E25538">
            <w:pPr>
              <w:spacing w:after="0" w:line="240" w:lineRule="auto"/>
              <w:jc w:val="both"/>
            </w:pPr>
          </w:p>
          <w:p w:rsidR="006F5751" w:rsidRPr="00E25538" w:rsidRDefault="006F5751" w:rsidP="00E25538">
            <w:pPr>
              <w:spacing w:after="0" w:line="240" w:lineRule="auto"/>
              <w:jc w:val="both"/>
            </w:pPr>
            <w:r w:rsidRPr="00E25538">
              <w:t>2010-07 Sharks para 4 Report on key shark species….</w:t>
            </w:r>
          </w:p>
          <w:p w:rsidR="006F5751" w:rsidRPr="00E25538" w:rsidRDefault="006F5751" w:rsidP="00E25538">
            <w:pPr>
              <w:pStyle w:val="ListParagraph"/>
              <w:numPr>
                <w:ilvl w:val="0"/>
                <w:numId w:val="16"/>
              </w:numPr>
              <w:spacing w:after="0" w:line="240" w:lineRule="auto"/>
              <w:ind w:left="342"/>
              <w:jc w:val="both"/>
            </w:pPr>
            <w:r w:rsidRPr="00E25538">
              <w:t>There are reported catches of sharks but need species level identification</w:t>
            </w:r>
          </w:p>
          <w:p w:rsidR="006F5751" w:rsidRPr="00E25538" w:rsidRDefault="006F5751" w:rsidP="00E25538">
            <w:pPr>
              <w:spacing w:after="0" w:line="240" w:lineRule="auto"/>
              <w:jc w:val="both"/>
            </w:pPr>
          </w:p>
        </w:tc>
        <w:tc>
          <w:tcPr>
            <w:tcW w:w="2661" w:type="dxa"/>
            <w:gridSpan w:val="2"/>
          </w:tcPr>
          <w:p w:rsidR="006F5751" w:rsidRPr="00E25538" w:rsidRDefault="006F5751" w:rsidP="00E25538">
            <w:pPr>
              <w:spacing w:after="0" w:line="240" w:lineRule="auto"/>
              <w:jc w:val="both"/>
            </w:pPr>
            <w:r w:rsidRPr="00E25538">
              <w:t>Handlining – catch data is provided but not yet for effort data.</w:t>
            </w:r>
          </w:p>
        </w:tc>
        <w:tc>
          <w:tcPr>
            <w:tcW w:w="2356" w:type="dxa"/>
          </w:tcPr>
          <w:p w:rsidR="006F5751" w:rsidRPr="00E25538" w:rsidRDefault="006F5751" w:rsidP="00E25538">
            <w:pPr>
              <w:spacing w:after="0" w:line="240" w:lineRule="auto"/>
              <w:jc w:val="both"/>
            </w:pPr>
            <w:r w:rsidRPr="00E25538">
              <w:t>C</w:t>
            </w:r>
          </w:p>
        </w:tc>
        <w:tc>
          <w:tcPr>
            <w:tcW w:w="2356" w:type="dxa"/>
            <w:shd w:val="clear" w:color="auto" w:fill="C6D9F1"/>
          </w:tcPr>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r w:rsidRPr="00E25538">
              <w:t>Handline fishery in the PH is not considered under the commercial sector and should not be covered by this CMM. Although catch data for this fishery has been provided, PH recognize difficulty in providing effort data for this fishery. But PH have been trying to improve data gathering to include effort data monitoring for this fishery but on a limited scale (e.g. for General Santos City based handline fishery).</w:t>
            </w:r>
          </w:p>
        </w:tc>
      </w:tr>
      <w:tr w:rsidR="006F5751" w:rsidRPr="00E25538">
        <w:tc>
          <w:tcPr>
            <w:tcW w:w="2265" w:type="dxa"/>
          </w:tcPr>
          <w:p w:rsidR="006F5751" w:rsidRPr="00E25538" w:rsidRDefault="006F5751" w:rsidP="00E25538">
            <w:pPr>
              <w:pStyle w:val="ListParagraph"/>
              <w:numPr>
                <w:ilvl w:val="0"/>
                <w:numId w:val="3"/>
              </w:numPr>
              <w:spacing w:after="0" w:line="240" w:lineRule="auto"/>
              <w:ind w:left="360" w:hanging="360"/>
              <w:rPr>
                <w:b/>
                <w:bCs/>
              </w:rPr>
            </w:pPr>
            <w:r w:rsidRPr="00E25538">
              <w:rPr>
                <w:b/>
                <w:bCs/>
              </w:rPr>
              <w:t>Spatial and temporal closures and restrictions on the use of FADs</w:t>
            </w:r>
          </w:p>
        </w:tc>
        <w:tc>
          <w:tcPr>
            <w:tcW w:w="3152" w:type="dxa"/>
            <w:gridSpan w:val="2"/>
          </w:tcPr>
          <w:p w:rsidR="006F5751" w:rsidRPr="00E25538" w:rsidRDefault="006F5751" w:rsidP="00E25538">
            <w:pPr>
              <w:spacing w:after="0" w:line="240" w:lineRule="auto"/>
              <w:jc w:val="both"/>
            </w:pPr>
            <w:r w:rsidRPr="00E25538">
              <w:t>2008-01 para 23: Submit FAD management Plan</w:t>
            </w:r>
          </w:p>
          <w:p w:rsidR="006F5751" w:rsidRPr="00E25538" w:rsidRDefault="006F5751" w:rsidP="00E25538">
            <w:pPr>
              <w:pStyle w:val="ListParagraph"/>
              <w:numPr>
                <w:ilvl w:val="0"/>
                <w:numId w:val="11"/>
              </w:numPr>
              <w:autoSpaceDE w:val="0"/>
              <w:autoSpaceDN w:val="0"/>
              <w:adjustRightInd w:val="0"/>
              <w:spacing w:after="0" w:line="240" w:lineRule="auto"/>
              <w:ind w:left="342" w:hanging="270"/>
            </w:pPr>
            <w:r w:rsidRPr="00E25538">
              <w:t>Philippines has not submitted a FAD management plan to WCPFC</w:t>
            </w:r>
          </w:p>
          <w:p w:rsidR="006F5751" w:rsidRPr="00E25538" w:rsidRDefault="006F5751" w:rsidP="00E25538">
            <w:pPr>
              <w:pStyle w:val="ListParagraph"/>
              <w:numPr>
                <w:ilvl w:val="0"/>
                <w:numId w:val="11"/>
              </w:numPr>
              <w:autoSpaceDE w:val="0"/>
              <w:autoSpaceDN w:val="0"/>
              <w:adjustRightInd w:val="0"/>
              <w:spacing w:after="0" w:line="240" w:lineRule="auto"/>
            </w:pPr>
            <w:r w:rsidRPr="00E25538">
              <w:t>In response to a request from WCPFC for further information on implementation of this requirement: “Newly approvedFAO 244: National FAD Management Policy</w:t>
            </w:r>
            <w:r w:rsidRPr="00E25538">
              <w:rPr>
                <w:rFonts w:ascii="Times New Roman" w:hAnsi="Times New Roman" w:cs="Times New Roman"/>
                <w:sz w:val="18"/>
                <w:szCs w:val="18"/>
              </w:rPr>
              <w:t>”</w:t>
            </w:r>
          </w:p>
          <w:p w:rsidR="006F5751" w:rsidRPr="00E25538" w:rsidRDefault="006F5751" w:rsidP="00E25538">
            <w:pPr>
              <w:pStyle w:val="ListParagraph"/>
              <w:numPr>
                <w:ilvl w:val="0"/>
                <w:numId w:val="11"/>
              </w:numPr>
              <w:autoSpaceDE w:val="0"/>
              <w:autoSpaceDN w:val="0"/>
              <w:adjustRightInd w:val="0"/>
              <w:spacing w:after="0" w:line="240" w:lineRule="auto"/>
              <w:rPr>
                <w:rFonts w:ascii="Cambria" w:hAnsi="Cambria" w:cs="Cambria"/>
              </w:rPr>
            </w:pPr>
            <w:r w:rsidRPr="00E25538">
              <w:rPr>
                <w:rFonts w:ascii="Cambria" w:hAnsi="Cambria" w:cs="Cambria"/>
              </w:rPr>
              <w:t>No Philippine flag vessel operating in high seas in 2011</w:t>
            </w:r>
          </w:p>
          <w:p w:rsidR="006F5751" w:rsidRPr="00E25538" w:rsidRDefault="006F5751" w:rsidP="00E25538">
            <w:pPr>
              <w:autoSpaceDE w:val="0"/>
              <w:autoSpaceDN w:val="0"/>
              <w:adjustRightInd w:val="0"/>
              <w:spacing w:after="0" w:line="240" w:lineRule="auto"/>
            </w:pPr>
          </w:p>
          <w:p w:rsidR="006F5751" w:rsidRPr="00E25538" w:rsidRDefault="006F5751" w:rsidP="00E25538">
            <w:pPr>
              <w:autoSpaceDE w:val="0"/>
              <w:autoSpaceDN w:val="0"/>
              <w:adjustRightInd w:val="0"/>
              <w:spacing w:after="0" w:line="240" w:lineRule="auto"/>
            </w:pPr>
          </w:p>
        </w:tc>
        <w:tc>
          <w:tcPr>
            <w:tcW w:w="2661" w:type="dxa"/>
            <w:gridSpan w:val="2"/>
          </w:tcPr>
          <w:p w:rsidR="006F5751" w:rsidRPr="00E25538" w:rsidRDefault="006F5751" w:rsidP="00E25538">
            <w:pPr>
              <w:spacing w:after="0" w:line="240" w:lineRule="auto"/>
              <w:jc w:val="both"/>
            </w:pPr>
          </w:p>
        </w:tc>
        <w:tc>
          <w:tcPr>
            <w:tcW w:w="2356" w:type="dxa"/>
          </w:tcPr>
          <w:p w:rsidR="006F5751" w:rsidRPr="00E25538" w:rsidRDefault="006F5751" w:rsidP="00E25538">
            <w:pPr>
              <w:spacing w:after="0" w:line="240" w:lineRule="auto"/>
              <w:jc w:val="both"/>
            </w:pPr>
            <w:r w:rsidRPr="00E25538">
              <w:t>B</w:t>
            </w:r>
          </w:p>
        </w:tc>
        <w:tc>
          <w:tcPr>
            <w:tcW w:w="2356" w:type="dxa"/>
            <w:shd w:val="clear" w:color="auto" w:fill="C6D9F1"/>
          </w:tcPr>
          <w:p w:rsidR="006F5751" w:rsidRPr="00E25538" w:rsidRDefault="006F5751" w:rsidP="00E25538">
            <w:pPr>
              <w:spacing w:after="0" w:line="240" w:lineRule="auto"/>
              <w:jc w:val="both"/>
            </w:pPr>
            <w:r w:rsidRPr="00E25538">
              <w:t>Attach is FAO 244. National FAD Management Policy</w:t>
            </w:r>
          </w:p>
        </w:tc>
      </w:tr>
      <w:tr w:rsidR="006F5751" w:rsidRPr="00E25538">
        <w:tc>
          <w:tcPr>
            <w:tcW w:w="2265" w:type="dxa"/>
          </w:tcPr>
          <w:p w:rsidR="006F5751" w:rsidRPr="00E25538" w:rsidRDefault="006F5751" w:rsidP="00E25538">
            <w:pPr>
              <w:pStyle w:val="ListParagraph"/>
              <w:numPr>
                <w:ilvl w:val="0"/>
                <w:numId w:val="3"/>
              </w:numPr>
              <w:spacing w:after="0" w:line="240" w:lineRule="auto"/>
              <w:ind w:left="360" w:hanging="360"/>
              <w:rPr>
                <w:b/>
                <w:bCs/>
              </w:rPr>
            </w:pPr>
            <w:r w:rsidRPr="00E25538">
              <w:rPr>
                <w:b/>
                <w:bCs/>
              </w:rPr>
              <w:t>Observer and VMS coverage</w:t>
            </w:r>
          </w:p>
        </w:tc>
        <w:tc>
          <w:tcPr>
            <w:tcW w:w="3152" w:type="dxa"/>
            <w:gridSpan w:val="2"/>
          </w:tcPr>
          <w:p w:rsidR="006F5751" w:rsidRPr="00E25538" w:rsidRDefault="006F5751" w:rsidP="00E25538">
            <w:pPr>
              <w:spacing w:after="0" w:line="240" w:lineRule="auto"/>
              <w:jc w:val="both"/>
            </w:pPr>
            <w:r w:rsidRPr="00E25538">
              <w:t>2009-06 Transshipment:  para 13 Vessels must carry ROP observers to observe transshipment at sea</w:t>
            </w:r>
          </w:p>
          <w:p w:rsidR="006F5751" w:rsidRPr="00E25538" w:rsidRDefault="006F5751" w:rsidP="00E25538">
            <w:pPr>
              <w:pStyle w:val="ListParagraph"/>
              <w:numPr>
                <w:ilvl w:val="0"/>
                <w:numId w:val="14"/>
              </w:numPr>
              <w:autoSpaceDE w:val="0"/>
              <w:autoSpaceDN w:val="0"/>
              <w:adjustRightInd w:val="0"/>
              <w:spacing w:after="0" w:line="240" w:lineRule="auto"/>
              <w:ind w:left="342" w:hanging="342"/>
            </w:pPr>
            <w:r w:rsidRPr="00E25538">
              <w:rPr>
                <w:shd w:val="clear" w:color="auto" w:fill="D6E3BC"/>
              </w:rPr>
              <w:t>Information at the Secretariat indicates there were at sea transshipment activities by Philippine flagged longline vessels in 2011 (WCPFC high seas transshipment declarations were received in accordance CMM 2009-06 that named Philippines vessels).</w:t>
            </w:r>
          </w:p>
          <w:p w:rsidR="006F5751" w:rsidRPr="00E25538" w:rsidRDefault="006F5751" w:rsidP="00E25538">
            <w:pPr>
              <w:pStyle w:val="ListParagraph"/>
              <w:numPr>
                <w:ilvl w:val="0"/>
                <w:numId w:val="14"/>
              </w:numPr>
              <w:autoSpaceDE w:val="0"/>
              <w:autoSpaceDN w:val="0"/>
              <w:adjustRightInd w:val="0"/>
              <w:spacing w:after="0" w:line="240" w:lineRule="auto"/>
            </w:pPr>
            <w:r w:rsidRPr="00E25538">
              <w:rPr>
                <w:shd w:val="clear" w:color="auto" w:fill="D6E3BC"/>
              </w:rPr>
              <w:t>Philippine:  “We conform that there were no Philippine flagged vessels operating n the high seas thus there is not need for these fishing vessels to have observers on board to monitor transshipment at sea. As indicated in paragraph 4 of CMM 2009-06 , transshipment within waters under national jurisdiction shall be in compliance with national laws. The only occasion where observers are on board are in accordance with FAO 236. Observer coverage is 100%.</w:t>
            </w:r>
          </w:p>
          <w:p w:rsidR="006F5751" w:rsidRPr="00E25538" w:rsidRDefault="006F5751" w:rsidP="00E25538">
            <w:pPr>
              <w:autoSpaceDE w:val="0"/>
              <w:autoSpaceDN w:val="0"/>
              <w:adjustRightInd w:val="0"/>
              <w:spacing w:after="0" w:line="240" w:lineRule="auto"/>
            </w:pPr>
          </w:p>
          <w:p w:rsidR="006F5751" w:rsidRPr="00E25538" w:rsidRDefault="006F5751" w:rsidP="00E25538">
            <w:pPr>
              <w:autoSpaceDE w:val="0"/>
              <w:autoSpaceDN w:val="0"/>
              <w:adjustRightInd w:val="0"/>
              <w:spacing w:after="0" w:line="240" w:lineRule="auto"/>
            </w:pPr>
            <w:r w:rsidRPr="00E25538">
              <w:t xml:space="preserve">2007-02 Commission VMS para 2:  </w:t>
            </w:r>
          </w:p>
          <w:p w:rsidR="006F5751" w:rsidRPr="00E25538" w:rsidRDefault="006F5751" w:rsidP="00E25538">
            <w:pPr>
              <w:pStyle w:val="ListParagraph"/>
              <w:numPr>
                <w:ilvl w:val="0"/>
                <w:numId w:val="18"/>
              </w:numPr>
              <w:autoSpaceDE w:val="0"/>
              <w:autoSpaceDN w:val="0"/>
              <w:adjustRightInd w:val="0"/>
              <w:spacing w:after="0" w:line="240" w:lineRule="auto"/>
            </w:pPr>
            <w:r w:rsidRPr="00E25538">
              <w:t>Potential compliance or implementation issue and additional information is required - please clarify that all Philippine vessels are complying with WCPFC VMS requirements when operating in the high seas of the Convention Area.</w:t>
            </w:r>
          </w:p>
          <w:p w:rsidR="006F5751" w:rsidRPr="00E25538" w:rsidRDefault="006F5751" w:rsidP="00E25538">
            <w:pPr>
              <w:pStyle w:val="ListParagraph"/>
              <w:numPr>
                <w:ilvl w:val="0"/>
                <w:numId w:val="18"/>
              </w:numPr>
              <w:tabs>
                <w:tab w:val="left" w:pos="972"/>
              </w:tabs>
              <w:autoSpaceDE w:val="0"/>
              <w:autoSpaceDN w:val="0"/>
              <w:adjustRightInd w:val="0"/>
              <w:spacing w:after="0" w:line="240" w:lineRule="auto"/>
              <w:ind w:left="882" w:hanging="270"/>
            </w:pPr>
            <w:r w:rsidRPr="00E25538">
              <w:t>Philippine:  We conform that there were no Philippine flagged vessels operating n the high seas thus there is no need for these fishing vessels to have VMS as required by CMM 2007-02 .”</w:t>
            </w:r>
          </w:p>
          <w:p w:rsidR="006F5751" w:rsidRPr="00E25538" w:rsidRDefault="006F5751" w:rsidP="00E25538">
            <w:pPr>
              <w:autoSpaceDE w:val="0"/>
              <w:autoSpaceDN w:val="0"/>
              <w:adjustRightInd w:val="0"/>
              <w:spacing w:after="0" w:line="240" w:lineRule="auto"/>
            </w:pPr>
          </w:p>
          <w:p w:rsidR="006F5751" w:rsidRPr="00E25538" w:rsidRDefault="006F5751" w:rsidP="00E25538">
            <w:pPr>
              <w:autoSpaceDE w:val="0"/>
              <w:autoSpaceDN w:val="0"/>
              <w:adjustRightInd w:val="0"/>
              <w:spacing w:after="0" w:line="240" w:lineRule="auto"/>
            </w:pPr>
          </w:p>
          <w:p w:rsidR="006F5751" w:rsidRPr="00E25538" w:rsidRDefault="006F5751" w:rsidP="00E25538">
            <w:pPr>
              <w:autoSpaceDE w:val="0"/>
              <w:autoSpaceDN w:val="0"/>
              <w:adjustRightInd w:val="0"/>
              <w:spacing w:after="0" w:line="240" w:lineRule="auto"/>
            </w:pPr>
            <w:r w:rsidRPr="00E25538">
              <w:t xml:space="preserve">VMS SSPs para 8: CCMs submit all necessary data (VTAF) to the Commission </w:t>
            </w:r>
          </w:p>
          <w:p w:rsidR="006F5751" w:rsidRPr="00E25538" w:rsidRDefault="006F5751" w:rsidP="00E25538">
            <w:pPr>
              <w:pStyle w:val="ListParagraph"/>
              <w:numPr>
                <w:ilvl w:val="0"/>
                <w:numId w:val="17"/>
              </w:numPr>
              <w:autoSpaceDE w:val="0"/>
              <w:autoSpaceDN w:val="0"/>
              <w:adjustRightInd w:val="0"/>
              <w:spacing w:after="0" w:line="240" w:lineRule="auto"/>
              <w:ind w:left="342"/>
            </w:pPr>
            <w:r w:rsidRPr="00E25538">
              <w:t>Potential compliance or implementation issue and additional information isrequired. Please clarify that all 184 vessels that fished in 2011 in the Convention Area(beyond Philippines national jurisdiction), were complying with WCPFC VMS requirement (Philippine reported 184 vessels fished and 439 vessels did not fish.  WCPFC VMS detected 34 Philippine vessels on the high seas in 2011)</w:t>
            </w:r>
          </w:p>
          <w:p w:rsidR="006F5751" w:rsidRPr="00E25538" w:rsidRDefault="006F5751" w:rsidP="00E25538">
            <w:pPr>
              <w:autoSpaceDE w:val="0"/>
              <w:autoSpaceDN w:val="0"/>
              <w:adjustRightInd w:val="0"/>
              <w:spacing w:after="0" w:line="240" w:lineRule="auto"/>
            </w:pPr>
          </w:p>
        </w:tc>
        <w:tc>
          <w:tcPr>
            <w:tcW w:w="2661" w:type="dxa"/>
            <w:gridSpan w:val="2"/>
          </w:tcPr>
          <w:p w:rsidR="006F5751" w:rsidRPr="00E25538" w:rsidRDefault="006F5751" w:rsidP="00E25538">
            <w:pPr>
              <w:spacing w:after="0" w:line="240" w:lineRule="auto"/>
              <w:jc w:val="both"/>
            </w:pPr>
            <w:r w:rsidRPr="00E25538">
              <w:t>The Philippines does not allow high seas operation but they will investigate possible implementation issue suggested by the data provided by the Secretariat.</w:t>
            </w:r>
          </w:p>
        </w:tc>
        <w:tc>
          <w:tcPr>
            <w:tcW w:w="2356" w:type="dxa"/>
          </w:tcPr>
          <w:p w:rsidR="006F5751" w:rsidRPr="00E25538" w:rsidRDefault="006F5751" w:rsidP="00E25538">
            <w:pPr>
              <w:spacing w:after="0" w:line="240" w:lineRule="auto"/>
              <w:jc w:val="both"/>
            </w:pPr>
            <w:r w:rsidRPr="00E25538">
              <w:t>C</w:t>
            </w:r>
          </w:p>
        </w:tc>
        <w:tc>
          <w:tcPr>
            <w:tcW w:w="2356" w:type="dxa"/>
            <w:shd w:val="clear" w:color="auto" w:fill="C6D9F1"/>
          </w:tcPr>
          <w:p w:rsidR="006F5751" w:rsidRPr="00E25538" w:rsidRDefault="006F5751" w:rsidP="00E25538">
            <w:pPr>
              <w:spacing w:after="0" w:line="240" w:lineRule="auto"/>
              <w:jc w:val="both"/>
            </w:pPr>
            <w:r w:rsidRPr="00E25538">
              <w:t>Philippines would like to clarify that the statement was referring only to all purse seine vessels.</w:t>
            </w:r>
          </w:p>
          <w:p w:rsidR="006F5751" w:rsidRPr="00E25538" w:rsidRDefault="006F5751" w:rsidP="00E25538">
            <w:pPr>
              <w:spacing w:after="0" w:line="240" w:lineRule="auto"/>
              <w:jc w:val="both"/>
            </w:pPr>
          </w:p>
          <w:p w:rsidR="006F5751" w:rsidRPr="00E25538" w:rsidRDefault="006F5751" w:rsidP="00E25538">
            <w:pPr>
              <w:spacing w:after="0" w:line="240" w:lineRule="auto"/>
              <w:jc w:val="both"/>
            </w:pPr>
            <w:r w:rsidRPr="00E25538">
              <w:t>There were longline boats that conducted transshipment but we reported authorization through email</w:t>
            </w:r>
            <w:r>
              <w:t xml:space="preserve"> sent thru Prof. Glenn Hurry</w:t>
            </w:r>
            <w:r w:rsidRPr="00E25538">
              <w:t>.</w:t>
            </w: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p>
          <w:p w:rsidR="006F5751" w:rsidRPr="00E25538" w:rsidRDefault="006F5751" w:rsidP="00E25538">
            <w:pPr>
              <w:spacing w:after="0" w:line="240" w:lineRule="auto"/>
              <w:jc w:val="both"/>
            </w:pPr>
            <w:r w:rsidRPr="00E25538">
              <w:t>Philippines would like to clarify that the 34 Philippine flag vessels detected by the WCPFC VMS in 2011 were mainly transiting in the high seas.</w:t>
            </w:r>
          </w:p>
        </w:tc>
      </w:tr>
      <w:tr w:rsidR="006F5751" w:rsidRPr="00E25538">
        <w:tc>
          <w:tcPr>
            <w:tcW w:w="2265" w:type="dxa"/>
          </w:tcPr>
          <w:p w:rsidR="006F5751" w:rsidRPr="00E25538" w:rsidRDefault="006F5751" w:rsidP="00E25538">
            <w:pPr>
              <w:pStyle w:val="ListParagraph"/>
              <w:numPr>
                <w:ilvl w:val="0"/>
                <w:numId w:val="3"/>
              </w:numPr>
              <w:spacing w:after="0" w:line="240" w:lineRule="auto"/>
              <w:ind w:left="360" w:hanging="360"/>
              <w:rPr>
                <w:b/>
                <w:bCs/>
              </w:rPr>
            </w:pPr>
            <w:r w:rsidRPr="00E25538">
              <w:rPr>
                <w:b/>
                <w:bCs/>
              </w:rPr>
              <w:t>Provision of scientific data through Part 1 and the Scientific Data to be provided to the Commission</w:t>
            </w:r>
          </w:p>
        </w:tc>
        <w:tc>
          <w:tcPr>
            <w:tcW w:w="3152" w:type="dxa"/>
            <w:gridSpan w:val="2"/>
          </w:tcPr>
          <w:p w:rsidR="006F5751" w:rsidRPr="00E25538" w:rsidRDefault="006F5751" w:rsidP="00E25538">
            <w:pPr>
              <w:spacing w:after="0" w:line="240" w:lineRule="auto"/>
              <w:jc w:val="both"/>
              <w:rPr>
                <w:i/>
                <w:iCs/>
              </w:rPr>
            </w:pPr>
            <w:r w:rsidRPr="00E25538">
              <w:rPr>
                <w:i/>
                <w:iCs/>
              </w:rPr>
              <w:t>Estimates of annual catches for the calendar year:</w:t>
            </w:r>
          </w:p>
          <w:p w:rsidR="006F5751" w:rsidRPr="00E25538" w:rsidRDefault="006F5751" w:rsidP="00E25538">
            <w:pPr>
              <w:autoSpaceDE w:val="0"/>
              <w:autoSpaceDN w:val="0"/>
              <w:adjustRightInd w:val="0"/>
              <w:spacing w:after="0" w:line="240" w:lineRule="auto"/>
            </w:pPr>
            <w:r w:rsidRPr="00E25538">
              <w:t xml:space="preserve">SPC advises date submitted 30 Apr&amp; 18 May 2012 (unclear whether these species were covered in the provisional catch estimates submitted) </w:t>
            </w:r>
          </w:p>
          <w:p w:rsidR="006F5751" w:rsidRPr="00E25538" w:rsidRDefault="006F5751" w:rsidP="00E25538">
            <w:pPr>
              <w:autoSpaceDE w:val="0"/>
              <w:autoSpaceDN w:val="0"/>
              <w:adjustRightInd w:val="0"/>
              <w:spacing w:after="0" w:line="240" w:lineRule="auto"/>
            </w:pPr>
            <w:r w:rsidRPr="00E25538">
              <w:t>Some shark data was reported in Pt 1 2012 but this was incomplete and did not cover all key shark species individually.</w:t>
            </w:r>
          </w:p>
          <w:p w:rsidR="006F5751" w:rsidRPr="00E25538" w:rsidRDefault="006F5751" w:rsidP="00E25538">
            <w:pPr>
              <w:pStyle w:val="ListParagraph"/>
              <w:numPr>
                <w:ilvl w:val="0"/>
                <w:numId w:val="15"/>
              </w:numPr>
              <w:autoSpaceDE w:val="0"/>
              <w:autoSpaceDN w:val="0"/>
              <w:adjustRightInd w:val="0"/>
              <w:spacing w:after="0" w:line="240" w:lineRule="auto"/>
              <w:ind w:left="342"/>
            </w:pPr>
            <w:r w:rsidRPr="00E25538">
              <w:t>Capacity building needed to educate fishers on different key shark species and to be able to differentiate different kinds of shark species to their report</w:t>
            </w:r>
            <w:r w:rsidRPr="00E25538">
              <w:rPr>
                <w:shd w:val="clear" w:color="auto" w:fill="D6E3BC"/>
              </w:rPr>
              <w:t xml:space="preserve">. </w:t>
            </w:r>
            <w:r w:rsidRPr="00E25538">
              <w:t>Operational level catch and effort data:</w:t>
            </w:r>
          </w:p>
          <w:p w:rsidR="006F5751" w:rsidRPr="00E25538" w:rsidRDefault="006F5751" w:rsidP="00E25538">
            <w:pPr>
              <w:autoSpaceDE w:val="0"/>
              <w:autoSpaceDN w:val="0"/>
              <w:adjustRightInd w:val="0"/>
              <w:spacing w:after="0" w:line="240" w:lineRule="auto"/>
            </w:pPr>
            <w:r w:rsidRPr="00E25538">
              <w:t>No operational level catch and effort dataprovided for Philippines, except 2004 dataprovided for Philippines domestic purse</w:t>
            </w:r>
          </w:p>
          <w:p w:rsidR="006F5751" w:rsidRPr="00E25538" w:rsidRDefault="006F5751" w:rsidP="00E25538">
            <w:pPr>
              <w:autoSpaceDE w:val="0"/>
              <w:autoSpaceDN w:val="0"/>
              <w:adjustRightInd w:val="0"/>
              <w:spacing w:after="0" w:line="240" w:lineRule="auto"/>
            </w:pPr>
            <w:r w:rsidRPr="00E25538">
              <w:t>seine vessels Philippines is a participant in the WPEA-OFM Project which has one of its aim to improve data collection in Philippines fisheries.</w:t>
            </w:r>
          </w:p>
          <w:p w:rsidR="006F5751" w:rsidRPr="00E25538" w:rsidRDefault="006F5751" w:rsidP="00E25538">
            <w:pPr>
              <w:pStyle w:val="ListParagraph"/>
              <w:numPr>
                <w:ilvl w:val="0"/>
                <w:numId w:val="15"/>
              </w:numPr>
              <w:autoSpaceDE w:val="0"/>
              <w:autoSpaceDN w:val="0"/>
              <w:adjustRightInd w:val="0"/>
              <w:spacing w:after="0" w:line="240" w:lineRule="auto"/>
              <w:rPr>
                <w:i/>
                <w:iCs/>
              </w:rPr>
            </w:pPr>
            <w:r w:rsidRPr="00E25538">
              <w:t xml:space="preserve">2004 Philippine PS/RN operational data were submitted to WCPFC/SPC for appraisal &amp; determination of high seas days effort, latest appraisal for these operational logsheets data were received by Philippines on November 2011. In 2008, Philippines started to initiate collection of PS/RN logsheets data through the WPEA-OFMP but further work is needed to address domestic constraints.   </w:t>
            </w:r>
            <w:r w:rsidRPr="00E25538">
              <w:rPr>
                <w:i/>
                <w:iCs/>
              </w:rPr>
              <w:t>Note: It is also recognized that certain members and cooperating non-members of the Commission may have practical difficulties in compiling operational data for fleets comprised of small vessels, such as certain sectors of the fisheries of Indonesia, the Philippines and small island developing states.</w:t>
            </w:r>
          </w:p>
          <w:p w:rsidR="006F5751" w:rsidRPr="00E25538" w:rsidRDefault="006F5751" w:rsidP="00E25538">
            <w:pPr>
              <w:pStyle w:val="ListParagraph"/>
              <w:autoSpaceDE w:val="0"/>
              <w:autoSpaceDN w:val="0"/>
              <w:adjustRightInd w:val="0"/>
              <w:spacing w:after="0" w:line="240" w:lineRule="auto"/>
            </w:pPr>
          </w:p>
        </w:tc>
        <w:tc>
          <w:tcPr>
            <w:tcW w:w="2661" w:type="dxa"/>
            <w:gridSpan w:val="2"/>
          </w:tcPr>
          <w:p w:rsidR="006F5751" w:rsidRPr="00E25538" w:rsidRDefault="006F5751" w:rsidP="00E25538">
            <w:pPr>
              <w:spacing w:after="0" w:line="240" w:lineRule="auto"/>
              <w:jc w:val="both"/>
            </w:pPr>
          </w:p>
        </w:tc>
        <w:tc>
          <w:tcPr>
            <w:tcW w:w="2356" w:type="dxa"/>
          </w:tcPr>
          <w:p w:rsidR="006F5751" w:rsidRPr="00E25538" w:rsidRDefault="006F5751" w:rsidP="00E25538">
            <w:pPr>
              <w:spacing w:after="0" w:line="240" w:lineRule="auto"/>
              <w:jc w:val="both"/>
            </w:pPr>
            <w:r w:rsidRPr="00E25538">
              <w:t>C</w:t>
            </w:r>
          </w:p>
        </w:tc>
        <w:tc>
          <w:tcPr>
            <w:tcW w:w="2356" w:type="dxa"/>
            <w:shd w:val="clear" w:color="auto" w:fill="C6D9F1"/>
          </w:tcPr>
          <w:p w:rsidR="006F5751" w:rsidRPr="00E25538" w:rsidRDefault="006F5751" w:rsidP="00E25538">
            <w:pPr>
              <w:autoSpaceDE w:val="0"/>
              <w:autoSpaceDN w:val="0"/>
              <w:adjustRightInd w:val="0"/>
              <w:spacing w:after="0" w:line="240" w:lineRule="auto"/>
            </w:pPr>
            <w:r w:rsidRPr="00E25538">
              <w:t xml:space="preserve"> YES</w:t>
            </w:r>
          </w:p>
          <w:p w:rsidR="006F5751" w:rsidRPr="00E25538" w:rsidRDefault="006F5751" w:rsidP="00E25538">
            <w:pPr>
              <w:autoSpaceDE w:val="0"/>
              <w:autoSpaceDN w:val="0"/>
              <w:adjustRightInd w:val="0"/>
              <w:spacing w:after="0" w:line="240" w:lineRule="auto"/>
            </w:pPr>
          </w:p>
          <w:p w:rsidR="006F5751" w:rsidRPr="00E25538" w:rsidRDefault="006F5751" w:rsidP="00E25538">
            <w:pPr>
              <w:autoSpaceDE w:val="0"/>
              <w:autoSpaceDN w:val="0"/>
              <w:adjustRightInd w:val="0"/>
              <w:spacing w:after="0" w:line="240" w:lineRule="auto"/>
            </w:pPr>
          </w:p>
          <w:p w:rsidR="006F5751" w:rsidRPr="00E25538" w:rsidRDefault="006F5751" w:rsidP="00E25538">
            <w:pPr>
              <w:autoSpaceDE w:val="0"/>
              <w:autoSpaceDN w:val="0"/>
              <w:adjustRightInd w:val="0"/>
              <w:spacing w:after="0" w:line="240" w:lineRule="auto"/>
            </w:pPr>
          </w:p>
          <w:p w:rsidR="006F5751" w:rsidRPr="00E25538" w:rsidRDefault="006F5751" w:rsidP="00E25538">
            <w:pPr>
              <w:autoSpaceDE w:val="0"/>
              <w:autoSpaceDN w:val="0"/>
              <w:adjustRightInd w:val="0"/>
              <w:spacing w:after="0" w:line="240" w:lineRule="auto"/>
            </w:pPr>
          </w:p>
          <w:p w:rsidR="006F5751" w:rsidRPr="00E25538" w:rsidRDefault="006F5751" w:rsidP="00E25538">
            <w:pPr>
              <w:autoSpaceDE w:val="0"/>
              <w:autoSpaceDN w:val="0"/>
              <w:adjustRightInd w:val="0"/>
              <w:spacing w:after="0" w:line="240" w:lineRule="auto"/>
            </w:pPr>
          </w:p>
          <w:p w:rsidR="006F5751" w:rsidRPr="00E25538" w:rsidRDefault="006F5751" w:rsidP="00E25538">
            <w:pPr>
              <w:autoSpaceDE w:val="0"/>
              <w:autoSpaceDN w:val="0"/>
              <w:adjustRightInd w:val="0"/>
              <w:spacing w:after="0" w:line="240" w:lineRule="auto"/>
            </w:pPr>
          </w:p>
          <w:p w:rsidR="006F5751" w:rsidRPr="00E25538" w:rsidRDefault="006F5751" w:rsidP="00E25538">
            <w:pPr>
              <w:autoSpaceDE w:val="0"/>
              <w:autoSpaceDN w:val="0"/>
              <w:adjustRightInd w:val="0"/>
              <w:spacing w:after="0" w:line="240" w:lineRule="auto"/>
            </w:pPr>
          </w:p>
          <w:p w:rsidR="006F5751" w:rsidRPr="00E25538" w:rsidRDefault="006F5751" w:rsidP="00E25538">
            <w:pPr>
              <w:autoSpaceDE w:val="0"/>
              <w:autoSpaceDN w:val="0"/>
              <w:adjustRightInd w:val="0"/>
              <w:spacing w:after="0" w:line="240" w:lineRule="auto"/>
            </w:pPr>
          </w:p>
          <w:p w:rsidR="006F5751" w:rsidRPr="00E25538" w:rsidRDefault="006F5751" w:rsidP="00E25538">
            <w:pPr>
              <w:autoSpaceDE w:val="0"/>
              <w:autoSpaceDN w:val="0"/>
              <w:adjustRightInd w:val="0"/>
              <w:spacing w:after="0" w:line="240" w:lineRule="auto"/>
            </w:pPr>
          </w:p>
          <w:p w:rsidR="006F5751" w:rsidRPr="00E25538" w:rsidRDefault="006F5751" w:rsidP="00E25538">
            <w:pPr>
              <w:autoSpaceDE w:val="0"/>
              <w:autoSpaceDN w:val="0"/>
              <w:adjustRightInd w:val="0"/>
              <w:spacing w:after="0" w:line="240" w:lineRule="auto"/>
            </w:pPr>
          </w:p>
          <w:p w:rsidR="006F5751" w:rsidRPr="00E25538" w:rsidRDefault="006F5751" w:rsidP="00E25538">
            <w:pPr>
              <w:autoSpaceDE w:val="0"/>
              <w:autoSpaceDN w:val="0"/>
              <w:adjustRightInd w:val="0"/>
              <w:spacing w:after="0" w:line="240" w:lineRule="auto"/>
            </w:pPr>
          </w:p>
          <w:p w:rsidR="006F5751" w:rsidRPr="00E25538" w:rsidRDefault="006F5751" w:rsidP="00E25538">
            <w:pPr>
              <w:autoSpaceDE w:val="0"/>
              <w:autoSpaceDN w:val="0"/>
              <w:adjustRightInd w:val="0"/>
              <w:spacing w:after="0" w:line="240" w:lineRule="auto"/>
            </w:pPr>
            <w:r w:rsidRPr="00E25538">
              <w:rPr>
                <w:highlight w:val="lightGray"/>
                <w:shd w:val="clear" w:color="auto" w:fill="D6E3BC"/>
              </w:rPr>
              <w:t>Philippines would like to request shark ID guide to educate fishers and enumerators.</w:t>
            </w:r>
          </w:p>
          <w:p w:rsidR="006F5751" w:rsidRPr="00E25538" w:rsidRDefault="006F5751" w:rsidP="00E25538">
            <w:pPr>
              <w:autoSpaceDE w:val="0"/>
              <w:autoSpaceDN w:val="0"/>
              <w:adjustRightInd w:val="0"/>
              <w:spacing w:after="0" w:line="240" w:lineRule="auto"/>
            </w:pPr>
          </w:p>
          <w:p w:rsidR="006F5751" w:rsidRPr="00E25538" w:rsidRDefault="006F5751" w:rsidP="00E25538">
            <w:pPr>
              <w:autoSpaceDE w:val="0"/>
              <w:autoSpaceDN w:val="0"/>
              <w:adjustRightInd w:val="0"/>
              <w:spacing w:after="0" w:line="240" w:lineRule="auto"/>
            </w:pPr>
          </w:p>
          <w:p w:rsidR="006F5751" w:rsidRPr="00E25538" w:rsidRDefault="006F5751" w:rsidP="00E25538">
            <w:pPr>
              <w:autoSpaceDE w:val="0"/>
              <w:autoSpaceDN w:val="0"/>
              <w:adjustRightInd w:val="0"/>
              <w:spacing w:after="0" w:line="240" w:lineRule="auto"/>
            </w:pPr>
            <w:r w:rsidRPr="00E25538">
              <w:t>PH provides available operational data to SPC to be included in the SA analysis</w:t>
            </w:r>
          </w:p>
          <w:p w:rsidR="006F5751" w:rsidRPr="00E25538" w:rsidRDefault="006F5751" w:rsidP="00E25538">
            <w:pPr>
              <w:autoSpaceDE w:val="0"/>
              <w:autoSpaceDN w:val="0"/>
              <w:adjustRightInd w:val="0"/>
              <w:spacing w:after="0" w:line="240" w:lineRule="auto"/>
              <w:rPr>
                <w:highlight w:val="yellow"/>
              </w:rPr>
            </w:pPr>
          </w:p>
          <w:p w:rsidR="006F5751" w:rsidRPr="00E25538" w:rsidRDefault="006F5751" w:rsidP="00E25538">
            <w:pPr>
              <w:autoSpaceDE w:val="0"/>
              <w:autoSpaceDN w:val="0"/>
              <w:adjustRightInd w:val="0"/>
              <w:spacing w:after="0" w:line="240" w:lineRule="auto"/>
              <w:rPr>
                <w:highlight w:val="yellow"/>
              </w:rPr>
            </w:pPr>
          </w:p>
          <w:p w:rsidR="006F5751" w:rsidRPr="00E25538" w:rsidRDefault="006F5751" w:rsidP="00E25538">
            <w:pPr>
              <w:autoSpaceDE w:val="0"/>
              <w:autoSpaceDN w:val="0"/>
              <w:adjustRightInd w:val="0"/>
              <w:spacing w:after="0" w:line="240" w:lineRule="auto"/>
              <w:rPr>
                <w:highlight w:val="yellow"/>
              </w:rPr>
            </w:pPr>
          </w:p>
          <w:p w:rsidR="006F5751" w:rsidRPr="00E25538" w:rsidRDefault="006F5751" w:rsidP="00E25538">
            <w:pPr>
              <w:autoSpaceDE w:val="0"/>
              <w:autoSpaceDN w:val="0"/>
              <w:adjustRightInd w:val="0"/>
              <w:spacing w:after="0" w:line="240" w:lineRule="auto"/>
              <w:rPr>
                <w:highlight w:val="yellow"/>
              </w:rPr>
            </w:pPr>
          </w:p>
          <w:p w:rsidR="006F5751" w:rsidRPr="00E25538" w:rsidRDefault="006F5751" w:rsidP="00E25538">
            <w:pPr>
              <w:autoSpaceDE w:val="0"/>
              <w:autoSpaceDN w:val="0"/>
              <w:adjustRightInd w:val="0"/>
              <w:spacing w:after="0" w:line="240" w:lineRule="auto"/>
              <w:rPr>
                <w:highlight w:val="yellow"/>
              </w:rPr>
            </w:pPr>
          </w:p>
          <w:p w:rsidR="006F5751" w:rsidRPr="00E25538" w:rsidRDefault="006F5751" w:rsidP="00E25538">
            <w:pPr>
              <w:autoSpaceDE w:val="0"/>
              <w:autoSpaceDN w:val="0"/>
              <w:adjustRightInd w:val="0"/>
              <w:spacing w:after="0" w:line="240" w:lineRule="auto"/>
              <w:rPr>
                <w:highlight w:val="yellow"/>
              </w:rPr>
            </w:pPr>
          </w:p>
          <w:p w:rsidR="006F5751" w:rsidRPr="00E25538" w:rsidRDefault="006F5751" w:rsidP="00E25538">
            <w:pPr>
              <w:autoSpaceDE w:val="0"/>
              <w:autoSpaceDN w:val="0"/>
              <w:adjustRightInd w:val="0"/>
              <w:spacing w:after="0" w:line="240" w:lineRule="auto"/>
              <w:rPr>
                <w:highlight w:val="yellow"/>
              </w:rPr>
            </w:pPr>
          </w:p>
          <w:p w:rsidR="006F5751" w:rsidRPr="00E25538" w:rsidRDefault="006F5751" w:rsidP="00E25538">
            <w:pPr>
              <w:autoSpaceDE w:val="0"/>
              <w:autoSpaceDN w:val="0"/>
              <w:adjustRightInd w:val="0"/>
              <w:spacing w:after="0" w:line="240" w:lineRule="auto"/>
            </w:pPr>
          </w:p>
          <w:p w:rsidR="006F5751" w:rsidRPr="00E25538" w:rsidRDefault="006F5751" w:rsidP="00E25538">
            <w:pPr>
              <w:spacing w:after="0" w:line="240" w:lineRule="auto"/>
              <w:jc w:val="both"/>
            </w:pPr>
          </w:p>
        </w:tc>
      </w:tr>
      <w:tr w:rsidR="006F5751" w:rsidRPr="00E25538">
        <w:trPr>
          <w:gridAfter w:val="5"/>
          <w:wAfter w:w="8169" w:type="dxa"/>
        </w:trPr>
        <w:tc>
          <w:tcPr>
            <w:tcW w:w="2265" w:type="dxa"/>
            <w:shd w:val="clear" w:color="auto" w:fill="C6D9F1"/>
          </w:tcPr>
          <w:p w:rsidR="006F5751" w:rsidRPr="00E25538" w:rsidRDefault="006F5751" w:rsidP="00E25538">
            <w:pPr>
              <w:spacing w:after="0" w:line="240" w:lineRule="auto"/>
              <w:jc w:val="both"/>
            </w:pPr>
          </w:p>
        </w:tc>
        <w:tc>
          <w:tcPr>
            <w:tcW w:w="2356" w:type="dxa"/>
            <w:shd w:val="clear" w:color="auto" w:fill="C6D9F1"/>
          </w:tcPr>
          <w:p w:rsidR="006F5751" w:rsidRPr="00E25538" w:rsidRDefault="006F5751" w:rsidP="00E25538">
            <w:pPr>
              <w:spacing w:after="0" w:line="240" w:lineRule="auto"/>
              <w:jc w:val="both"/>
            </w:pPr>
          </w:p>
        </w:tc>
      </w:tr>
      <w:tr w:rsidR="006F5751" w:rsidRPr="00E25538">
        <w:trPr>
          <w:gridAfter w:val="3"/>
          <w:wAfter w:w="5813" w:type="dxa"/>
        </w:trPr>
        <w:tc>
          <w:tcPr>
            <w:tcW w:w="2265" w:type="dxa"/>
            <w:vAlign w:val="center"/>
          </w:tcPr>
          <w:p w:rsidR="006F5751" w:rsidRPr="00E25538" w:rsidRDefault="006F5751" w:rsidP="00E25538">
            <w:pPr>
              <w:spacing w:after="0" w:line="240" w:lineRule="auto"/>
              <w:jc w:val="center"/>
              <w:rPr>
                <w:b/>
                <w:bCs/>
              </w:rPr>
            </w:pPr>
            <w:r w:rsidRPr="00E25538">
              <w:rPr>
                <w:b/>
                <w:bCs/>
              </w:rPr>
              <w:t>Provisional Assessment of CCM’s Compliance</w:t>
            </w:r>
          </w:p>
        </w:tc>
        <w:tc>
          <w:tcPr>
            <w:tcW w:w="2356" w:type="dxa"/>
            <w:shd w:val="clear" w:color="auto" w:fill="FDE9D9"/>
          </w:tcPr>
          <w:p w:rsidR="006F5751" w:rsidRPr="00E25538" w:rsidRDefault="006F5751" w:rsidP="00E25538">
            <w:pPr>
              <w:spacing w:after="0" w:line="240" w:lineRule="auto"/>
              <w:jc w:val="both"/>
              <w:rPr>
                <w:b/>
                <w:bCs/>
                <w:i/>
                <w:iCs/>
              </w:rPr>
            </w:pPr>
          </w:p>
          <w:p w:rsidR="006F5751" w:rsidRPr="00E25538" w:rsidRDefault="006F5751" w:rsidP="00E25538">
            <w:pPr>
              <w:spacing w:after="0" w:line="240" w:lineRule="auto"/>
              <w:jc w:val="both"/>
              <w:rPr>
                <w:b/>
                <w:bCs/>
                <w:i/>
                <w:iCs/>
              </w:rPr>
            </w:pPr>
            <w:r w:rsidRPr="00E25538">
              <w:rPr>
                <w:b/>
                <w:bCs/>
                <w:i/>
                <w:iCs/>
              </w:rPr>
              <w:t>Compliance Review</w:t>
            </w:r>
          </w:p>
        </w:tc>
        <w:tc>
          <w:tcPr>
            <w:tcW w:w="2356" w:type="dxa"/>
            <w:gridSpan w:val="2"/>
            <w:shd w:val="clear" w:color="auto" w:fill="FDE9D9"/>
          </w:tcPr>
          <w:p w:rsidR="006F5751" w:rsidRPr="00E25538" w:rsidRDefault="006F5751" w:rsidP="00E25538">
            <w:pPr>
              <w:spacing w:after="0" w:line="240" w:lineRule="auto"/>
              <w:jc w:val="both"/>
              <w:rPr>
                <w:b/>
                <w:bCs/>
                <w:i/>
                <w:iCs/>
              </w:rPr>
            </w:pPr>
          </w:p>
        </w:tc>
      </w:tr>
    </w:tbl>
    <w:p w:rsidR="006F5751" w:rsidRPr="00037D97" w:rsidRDefault="006F5751" w:rsidP="002773F6">
      <w:pPr>
        <w:rPr>
          <w:b/>
          <w:bCs/>
          <w:sz w:val="24"/>
          <w:szCs w:val="24"/>
        </w:rPr>
      </w:pPr>
    </w:p>
    <w:sectPr w:rsidR="006F5751" w:rsidRPr="00037D97" w:rsidSect="00373BB3">
      <w:pgSz w:w="15840" w:h="12240" w:orient="landscape"/>
      <w:pgMar w:top="144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751" w:rsidRDefault="006F5751" w:rsidP="00A72D72">
      <w:pPr>
        <w:spacing w:after="0" w:line="240" w:lineRule="auto"/>
      </w:pPr>
      <w:r>
        <w:separator/>
      </w:r>
    </w:p>
  </w:endnote>
  <w:endnote w:type="continuationSeparator" w:id="1">
    <w:p w:rsidR="006F5751" w:rsidRDefault="006F5751" w:rsidP="00A72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751" w:rsidRDefault="006F5751" w:rsidP="00A72D72">
      <w:pPr>
        <w:spacing w:after="0" w:line="240" w:lineRule="auto"/>
      </w:pPr>
      <w:r>
        <w:separator/>
      </w:r>
    </w:p>
  </w:footnote>
  <w:footnote w:type="continuationSeparator" w:id="1">
    <w:p w:rsidR="006F5751" w:rsidRDefault="006F5751" w:rsidP="00A72D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3B9"/>
    <w:multiLevelType w:val="hybridMultilevel"/>
    <w:tmpl w:val="CA247F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2C44509"/>
    <w:multiLevelType w:val="hybridMultilevel"/>
    <w:tmpl w:val="67824E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7F56CF2"/>
    <w:multiLevelType w:val="hybridMultilevel"/>
    <w:tmpl w:val="6B6A3B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9775404"/>
    <w:multiLevelType w:val="hybridMultilevel"/>
    <w:tmpl w:val="AD52B8C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0985645A"/>
    <w:multiLevelType w:val="hybridMultilevel"/>
    <w:tmpl w:val="2F5C4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0C1B28A2"/>
    <w:multiLevelType w:val="hybridMultilevel"/>
    <w:tmpl w:val="598A58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0DF5264F"/>
    <w:multiLevelType w:val="hybridMultilevel"/>
    <w:tmpl w:val="10282A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0EE52A37"/>
    <w:multiLevelType w:val="hybridMultilevel"/>
    <w:tmpl w:val="6100B9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9A61DC8"/>
    <w:multiLevelType w:val="hybridMultilevel"/>
    <w:tmpl w:val="38A47D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390704F7"/>
    <w:multiLevelType w:val="hybridMultilevel"/>
    <w:tmpl w:val="4E4C18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F4C0E59"/>
    <w:multiLevelType w:val="hybridMultilevel"/>
    <w:tmpl w:val="5C0A5B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440650D9"/>
    <w:multiLevelType w:val="hybridMultilevel"/>
    <w:tmpl w:val="61D80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46E044B"/>
    <w:multiLevelType w:val="hybridMultilevel"/>
    <w:tmpl w:val="FE464B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47415902"/>
    <w:multiLevelType w:val="hybridMultilevel"/>
    <w:tmpl w:val="94DC2966"/>
    <w:lvl w:ilvl="0" w:tplc="04090001">
      <w:start w:val="1"/>
      <w:numFmt w:val="bullet"/>
      <w:lvlText w:val=""/>
      <w:lvlJc w:val="left"/>
      <w:pPr>
        <w:ind w:left="730" w:hanging="360"/>
      </w:pPr>
      <w:rPr>
        <w:rFonts w:ascii="Symbol" w:hAnsi="Symbol" w:cs="Symbol" w:hint="default"/>
      </w:rPr>
    </w:lvl>
    <w:lvl w:ilvl="1" w:tplc="04090003">
      <w:start w:val="1"/>
      <w:numFmt w:val="bullet"/>
      <w:lvlText w:val="o"/>
      <w:lvlJc w:val="left"/>
      <w:pPr>
        <w:ind w:left="1450" w:hanging="360"/>
      </w:pPr>
      <w:rPr>
        <w:rFonts w:ascii="Courier New" w:hAnsi="Courier New" w:cs="Courier New" w:hint="default"/>
      </w:rPr>
    </w:lvl>
    <w:lvl w:ilvl="2" w:tplc="04090005">
      <w:start w:val="1"/>
      <w:numFmt w:val="bullet"/>
      <w:lvlText w:val=""/>
      <w:lvlJc w:val="left"/>
      <w:pPr>
        <w:ind w:left="2170" w:hanging="360"/>
      </w:pPr>
      <w:rPr>
        <w:rFonts w:ascii="Wingdings" w:hAnsi="Wingdings" w:cs="Wingdings" w:hint="default"/>
      </w:rPr>
    </w:lvl>
    <w:lvl w:ilvl="3" w:tplc="04090001">
      <w:start w:val="1"/>
      <w:numFmt w:val="bullet"/>
      <w:lvlText w:val=""/>
      <w:lvlJc w:val="left"/>
      <w:pPr>
        <w:ind w:left="2890" w:hanging="360"/>
      </w:pPr>
      <w:rPr>
        <w:rFonts w:ascii="Symbol" w:hAnsi="Symbol" w:cs="Symbol" w:hint="default"/>
      </w:rPr>
    </w:lvl>
    <w:lvl w:ilvl="4" w:tplc="04090003">
      <w:start w:val="1"/>
      <w:numFmt w:val="bullet"/>
      <w:lvlText w:val="o"/>
      <w:lvlJc w:val="left"/>
      <w:pPr>
        <w:ind w:left="3610" w:hanging="360"/>
      </w:pPr>
      <w:rPr>
        <w:rFonts w:ascii="Courier New" w:hAnsi="Courier New" w:cs="Courier New" w:hint="default"/>
      </w:rPr>
    </w:lvl>
    <w:lvl w:ilvl="5" w:tplc="04090005">
      <w:start w:val="1"/>
      <w:numFmt w:val="bullet"/>
      <w:lvlText w:val=""/>
      <w:lvlJc w:val="left"/>
      <w:pPr>
        <w:ind w:left="4330" w:hanging="360"/>
      </w:pPr>
      <w:rPr>
        <w:rFonts w:ascii="Wingdings" w:hAnsi="Wingdings" w:cs="Wingdings" w:hint="default"/>
      </w:rPr>
    </w:lvl>
    <w:lvl w:ilvl="6" w:tplc="04090001">
      <w:start w:val="1"/>
      <w:numFmt w:val="bullet"/>
      <w:lvlText w:val=""/>
      <w:lvlJc w:val="left"/>
      <w:pPr>
        <w:ind w:left="5050" w:hanging="360"/>
      </w:pPr>
      <w:rPr>
        <w:rFonts w:ascii="Symbol" w:hAnsi="Symbol" w:cs="Symbol" w:hint="default"/>
      </w:rPr>
    </w:lvl>
    <w:lvl w:ilvl="7" w:tplc="04090003">
      <w:start w:val="1"/>
      <w:numFmt w:val="bullet"/>
      <w:lvlText w:val="o"/>
      <w:lvlJc w:val="left"/>
      <w:pPr>
        <w:ind w:left="5770" w:hanging="360"/>
      </w:pPr>
      <w:rPr>
        <w:rFonts w:ascii="Courier New" w:hAnsi="Courier New" w:cs="Courier New" w:hint="default"/>
      </w:rPr>
    </w:lvl>
    <w:lvl w:ilvl="8" w:tplc="04090005">
      <w:start w:val="1"/>
      <w:numFmt w:val="bullet"/>
      <w:lvlText w:val=""/>
      <w:lvlJc w:val="left"/>
      <w:pPr>
        <w:ind w:left="6490" w:hanging="360"/>
      </w:pPr>
      <w:rPr>
        <w:rFonts w:ascii="Wingdings" w:hAnsi="Wingdings" w:cs="Wingdings" w:hint="default"/>
      </w:rPr>
    </w:lvl>
  </w:abstractNum>
  <w:abstractNum w:abstractNumId="14">
    <w:nsid w:val="4CD8448A"/>
    <w:multiLevelType w:val="hybridMultilevel"/>
    <w:tmpl w:val="A274E9EC"/>
    <w:lvl w:ilvl="0" w:tplc="236685E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CDD7A80"/>
    <w:multiLevelType w:val="hybridMultilevel"/>
    <w:tmpl w:val="C652DF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557F2C74"/>
    <w:multiLevelType w:val="hybridMultilevel"/>
    <w:tmpl w:val="D5DCD5DE"/>
    <w:lvl w:ilvl="0" w:tplc="A9E6896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F825AC4"/>
    <w:multiLevelType w:val="hybridMultilevel"/>
    <w:tmpl w:val="B002E2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6F0B51CD"/>
    <w:multiLevelType w:val="hybridMultilevel"/>
    <w:tmpl w:val="BF42F6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1"/>
  </w:num>
  <w:num w:numId="2">
    <w:abstractNumId w:val="9"/>
  </w:num>
  <w:num w:numId="3">
    <w:abstractNumId w:val="14"/>
  </w:num>
  <w:num w:numId="4">
    <w:abstractNumId w:val="17"/>
  </w:num>
  <w:num w:numId="5">
    <w:abstractNumId w:val="13"/>
  </w:num>
  <w:num w:numId="6">
    <w:abstractNumId w:val="3"/>
  </w:num>
  <w:num w:numId="7">
    <w:abstractNumId w:val="15"/>
  </w:num>
  <w:num w:numId="8">
    <w:abstractNumId w:val="1"/>
  </w:num>
  <w:num w:numId="9">
    <w:abstractNumId w:val="7"/>
  </w:num>
  <w:num w:numId="10">
    <w:abstractNumId w:val="12"/>
  </w:num>
  <w:num w:numId="11">
    <w:abstractNumId w:val="6"/>
  </w:num>
  <w:num w:numId="12">
    <w:abstractNumId w:val="2"/>
  </w:num>
  <w:num w:numId="13">
    <w:abstractNumId w:val="8"/>
  </w:num>
  <w:num w:numId="14">
    <w:abstractNumId w:val="0"/>
  </w:num>
  <w:num w:numId="15">
    <w:abstractNumId w:val="5"/>
  </w:num>
  <w:num w:numId="16">
    <w:abstractNumId w:val="18"/>
  </w:num>
  <w:num w:numId="17">
    <w:abstractNumId w:val="4"/>
  </w:num>
  <w:num w:numId="18">
    <w:abstractNumId w:val="1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59D1"/>
    <w:rsid w:val="00000AA2"/>
    <w:rsid w:val="000022D4"/>
    <w:rsid w:val="00005F0D"/>
    <w:rsid w:val="00037D97"/>
    <w:rsid w:val="000723E6"/>
    <w:rsid w:val="0008478B"/>
    <w:rsid w:val="000849BA"/>
    <w:rsid w:val="000A11F4"/>
    <w:rsid w:val="000B48B3"/>
    <w:rsid w:val="000C31AC"/>
    <w:rsid w:val="000C5A67"/>
    <w:rsid w:val="000C74A6"/>
    <w:rsid w:val="000D004C"/>
    <w:rsid w:val="000E4665"/>
    <w:rsid w:val="00102FE0"/>
    <w:rsid w:val="00105B11"/>
    <w:rsid w:val="00107FF2"/>
    <w:rsid w:val="001261B7"/>
    <w:rsid w:val="00133281"/>
    <w:rsid w:val="00154313"/>
    <w:rsid w:val="00176DA7"/>
    <w:rsid w:val="001A4B29"/>
    <w:rsid w:val="001B1CC6"/>
    <w:rsid w:val="001B4D2C"/>
    <w:rsid w:val="001C3E12"/>
    <w:rsid w:val="001C5865"/>
    <w:rsid w:val="001C62A1"/>
    <w:rsid w:val="001C698F"/>
    <w:rsid w:val="001E0E3B"/>
    <w:rsid w:val="00202485"/>
    <w:rsid w:val="0022059E"/>
    <w:rsid w:val="00235EDC"/>
    <w:rsid w:val="00236138"/>
    <w:rsid w:val="002517B4"/>
    <w:rsid w:val="0027354C"/>
    <w:rsid w:val="002773F6"/>
    <w:rsid w:val="002E487F"/>
    <w:rsid w:val="002F36CA"/>
    <w:rsid w:val="002F56AC"/>
    <w:rsid w:val="00352BD8"/>
    <w:rsid w:val="003635DF"/>
    <w:rsid w:val="00373BB3"/>
    <w:rsid w:val="00384A59"/>
    <w:rsid w:val="00384CDF"/>
    <w:rsid w:val="003B019D"/>
    <w:rsid w:val="003E0C00"/>
    <w:rsid w:val="003F036D"/>
    <w:rsid w:val="003F3FB0"/>
    <w:rsid w:val="0040098C"/>
    <w:rsid w:val="00410E8A"/>
    <w:rsid w:val="0041706D"/>
    <w:rsid w:val="00454807"/>
    <w:rsid w:val="004772D1"/>
    <w:rsid w:val="004E0A15"/>
    <w:rsid w:val="004F0E5B"/>
    <w:rsid w:val="004F4168"/>
    <w:rsid w:val="00514DE9"/>
    <w:rsid w:val="005259DA"/>
    <w:rsid w:val="005400DC"/>
    <w:rsid w:val="00544F91"/>
    <w:rsid w:val="00546E64"/>
    <w:rsid w:val="005527F6"/>
    <w:rsid w:val="00556C34"/>
    <w:rsid w:val="00561A66"/>
    <w:rsid w:val="005623C7"/>
    <w:rsid w:val="00567DFD"/>
    <w:rsid w:val="0057249A"/>
    <w:rsid w:val="00586590"/>
    <w:rsid w:val="005B5855"/>
    <w:rsid w:val="005F41B7"/>
    <w:rsid w:val="006556FE"/>
    <w:rsid w:val="006632A5"/>
    <w:rsid w:val="006643CF"/>
    <w:rsid w:val="006761E2"/>
    <w:rsid w:val="00680996"/>
    <w:rsid w:val="006A6541"/>
    <w:rsid w:val="006D3B9A"/>
    <w:rsid w:val="006F5751"/>
    <w:rsid w:val="006F7E63"/>
    <w:rsid w:val="00721BF1"/>
    <w:rsid w:val="00731D50"/>
    <w:rsid w:val="007360EF"/>
    <w:rsid w:val="00761BF6"/>
    <w:rsid w:val="00767A05"/>
    <w:rsid w:val="0077406E"/>
    <w:rsid w:val="007937E8"/>
    <w:rsid w:val="007A065C"/>
    <w:rsid w:val="008012EC"/>
    <w:rsid w:val="00801419"/>
    <w:rsid w:val="00801B84"/>
    <w:rsid w:val="00825696"/>
    <w:rsid w:val="008316EA"/>
    <w:rsid w:val="00836B9F"/>
    <w:rsid w:val="00877077"/>
    <w:rsid w:val="008A5330"/>
    <w:rsid w:val="008F4AA5"/>
    <w:rsid w:val="009152F5"/>
    <w:rsid w:val="0091600A"/>
    <w:rsid w:val="009C17D2"/>
    <w:rsid w:val="009D59D1"/>
    <w:rsid w:val="00A2601B"/>
    <w:rsid w:val="00A72D72"/>
    <w:rsid w:val="00A90F3C"/>
    <w:rsid w:val="00A94120"/>
    <w:rsid w:val="00A94697"/>
    <w:rsid w:val="00A96126"/>
    <w:rsid w:val="00AA2FAC"/>
    <w:rsid w:val="00AF45F9"/>
    <w:rsid w:val="00B17DDF"/>
    <w:rsid w:val="00B34894"/>
    <w:rsid w:val="00B40A2A"/>
    <w:rsid w:val="00B41BB0"/>
    <w:rsid w:val="00B45D5C"/>
    <w:rsid w:val="00B469F3"/>
    <w:rsid w:val="00B52F00"/>
    <w:rsid w:val="00B85274"/>
    <w:rsid w:val="00BA2844"/>
    <w:rsid w:val="00BD06AC"/>
    <w:rsid w:val="00BD3B50"/>
    <w:rsid w:val="00BF4B28"/>
    <w:rsid w:val="00C20D37"/>
    <w:rsid w:val="00C32845"/>
    <w:rsid w:val="00C46AAA"/>
    <w:rsid w:val="00C50138"/>
    <w:rsid w:val="00C65576"/>
    <w:rsid w:val="00C7478F"/>
    <w:rsid w:val="00C82546"/>
    <w:rsid w:val="00C9297B"/>
    <w:rsid w:val="00CB2DA0"/>
    <w:rsid w:val="00CC0213"/>
    <w:rsid w:val="00CC087A"/>
    <w:rsid w:val="00CE50D9"/>
    <w:rsid w:val="00CF5385"/>
    <w:rsid w:val="00D0582C"/>
    <w:rsid w:val="00D12E86"/>
    <w:rsid w:val="00D24302"/>
    <w:rsid w:val="00D34245"/>
    <w:rsid w:val="00D45C0E"/>
    <w:rsid w:val="00D52063"/>
    <w:rsid w:val="00DA7F02"/>
    <w:rsid w:val="00E25538"/>
    <w:rsid w:val="00E40388"/>
    <w:rsid w:val="00E5396E"/>
    <w:rsid w:val="00E6005C"/>
    <w:rsid w:val="00E73E41"/>
    <w:rsid w:val="00E76E4E"/>
    <w:rsid w:val="00E950A2"/>
    <w:rsid w:val="00EC2636"/>
    <w:rsid w:val="00EC7499"/>
    <w:rsid w:val="00EE5245"/>
    <w:rsid w:val="00EF5869"/>
    <w:rsid w:val="00F43269"/>
    <w:rsid w:val="00F542FE"/>
    <w:rsid w:val="00F6548C"/>
    <w:rsid w:val="00F831FE"/>
    <w:rsid w:val="00FA14F9"/>
    <w:rsid w:val="00FA69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9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59D1"/>
    <w:pPr>
      <w:ind w:left="720"/>
    </w:pPr>
  </w:style>
  <w:style w:type="table" w:styleId="TableGrid">
    <w:name w:val="Table Grid"/>
    <w:basedOn w:val="TableNormal"/>
    <w:uiPriority w:val="99"/>
    <w:rsid w:val="00DA7F0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72D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72D72"/>
  </w:style>
  <w:style w:type="paragraph" w:styleId="Footer">
    <w:name w:val="footer"/>
    <w:basedOn w:val="Normal"/>
    <w:link w:val="FooterChar"/>
    <w:uiPriority w:val="99"/>
    <w:rsid w:val="00A72D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72D72"/>
  </w:style>
  <w:style w:type="paragraph" w:styleId="BalloonText">
    <w:name w:val="Balloon Text"/>
    <w:basedOn w:val="Normal"/>
    <w:link w:val="BalloonTextChar"/>
    <w:uiPriority w:val="99"/>
    <w:semiHidden/>
    <w:rsid w:val="00A72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2D72"/>
    <w:rPr>
      <w:rFonts w:ascii="Tahoma" w:hAnsi="Tahoma" w:cs="Tahoma"/>
      <w:sz w:val="16"/>
      <w:szCs w:val="16"/>
    </w:rPr>
  </w:style>
  <w:style w:type="character" w:styleId="CommentReference">
    <w:name w:val="annotation reference"/>
    <w:basedOn w:val="DefaultParagraphFont"/>
    <w:uiPriority w:val="99"/>
    <w:semiHidden/>
    <w:rsid w:val="000849BA"/>
    <w:rPr>
      <w:sz w:val="16"/>
      <w:szCs w:val="16"/>
    </w:rPr>
  </w:style>
  <w:style w:type="paragraph" w:styleId="CommentText">
    <w:name w:val="annotation text"/>
    <w:basedOn w:val="Normal"/>
    <w:link w:val="CommentTextChar"/>
    <w:uiPriority w:val="99"/>
    <w:semiHidden/>
    <w:rsid w:val="000849BA"/>
    <w:rPr>
      <w:sz w:val="20"/>
      <w:szCs w:val="20"/>
    </w:rPr>
  </w:style>
  <w:style w:type="character" w:customStyle="1" w:styleId="CommentTextChar">
    <w:name w:val="Comment Text Char"/>
    <w:basedOn w:val="DefaultParagraphFont"/>
    <w:link w:val="CommentText"/>
    <w:uiPriority w:val="99"/>
    <w:semiHidden/>
    <w:locked/>
    <w:rsid w:val="000849BA"/>
    <w:rPr>
      <w:rFonts w:ascii="Calibri" w:eastAsia="Times New Roman" w:hAnsi="Calibri" w:cs="Calibri"/>
      <w:sz w:val="20"/>
      <w:szCs w:val="20"/>
    </w:rPr>
  </w:style>
  <w:style w:type="paragraph" w:customStyle="1" w:styleId="Default">
    <w:name w:val="Default"/>
    <w:uiPriority w:val="99"/>
    <w:rsid w:val="00235EDC"/>
    <w:pPr>
      <w:autoSpaceDE w:val="0"/>
      <w:autoSpaceDN w:val="0"/>
      <w:adjustRightInd w:val="0"/>
    </w:pPr>
    <w:rPr>
      <w:color w:val="000000"/>
      <w:sz w:val="24"/>
      <w:szCs w:val="24"/>
      <w:lang w:val="en-PH" w:eastAsia="en-P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931</Words>
  <Characters>5310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PHILIPPINES </dc:title>
  <dc:subject/>
  <dc:creator>RheaC</dc:creator>
  <cp:keywords/>
  <dc:description/>
  <cp:lastModifiedBy>btabios</cp:lastModifiedBy>
  <cp:revision>2</cp:revision>
  <dcterms:created xsi:type="dcterms:W3CDTF">2013-08-27T00:17:00Z</dcterms:created>
  <dcterms:modified xsi:type="dcterms:W3CDTF">2013-08-27T00:17:00Z</dcterms:modified>
</cp:coreProperties>
</file>